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ABBD96">
      <w:pPr>
        <w:pStyle w:val="11"/>
        <w:spacing w:before="0" w:beforeAutospacing="0" w:after="0" w:afterAutospacing="0" w:line="450" w:lineRule="atLeast"/>
        <w:jc w:val="center"/>
        <w:rPr>
          <w:sz w:val="21"/>
          <w:szCs w:val="21"/>
        </w:rPr>
      </w:pPr>
      <w:bookmarkStart w:id="4" w:name="_GoBack"/>
      <w:bookmarkEnd w:id="4"/>
      <w:r>
        <w:rPr>
          <w:rStyle w:val="16"/>
          <w:rFonts w:hint="eastAsia"/>
          <w:color w:val="333333"/>
          <w:sz w:val="84"/>
          <w:szCs w:val="84"/>
          <w:shd w:val="clear" w:color="auto" w:fill="FFFFFF"/>
        </w:rPr>
        <w:t>武 汉 工 商 学 院</w:t>
      </w:r>
    </w:p>
    <w:p w14:paraId="5CCDEFEA">
      <w:pPr>
        <w:pStyle w:val="11"/>
        <w:spacing w:before="0" w:beforeAutospacing="0" w:after="0" w:afterAutospacing="0" w:line="450" w:lineRule="atLeast"/>
        <w:jc w:val="center"/>
        <w:rPr>
          <w:sz w:val="21"/>
          <w:szCs w:val="21"/>
        </w:rPr>
      </w:pPr>
      <w:r>
        <w:rPr>
          <w:rStyle w:val="16"/>
          <w:rFonts w:hint="eastAsia"/>
          <w:color w:val="333333"/>
          <w:sz w:val="84"/>
          <w:szCs w:val="84"/>
          <w:shd w:val="clear" w:color="auto" w:fill="FFFFFF"/>
        </w:rPr>
        <w:t>招（议）标文件</w:t>
      </w:r>
    </w:p>
    <w:p w14:paraId="27F5A0BC">
      <w:pPr>
        <w:pStyle w:val="11"/>
        <w:spacing w:before="0" w:beforeAutospacing="0" w:after="0" w:afterAutospacing="0" w:line="450" w:lineRule="atLeast"/>
        <w:jc w:val="both"/>
        <w:rPr>
          <w:sz w:val="21"/>
          <w:szCs w:val="21"/>
        </w:rPr>
      </w:pPr>
      <w:r>
        <w:rPr>
          <w:rStyle w:val="16"/>
          <w:rFonts w:hint="eastAsia"/>
          <w:color w:val="333333"/>
          <w:sz w:val="28"/>
          <w:szCs w:val="28"/>
          <w:shd w:val="clear" w:color="auto" w:fill="FFFFFF"/>
        </w:rPr>
        <w:t> </w:t>
      </w:r>
    </w:p>
    <w:p w14:paraId="4A2D3DDC">
      <w:pPr>
        <w:pStyle w:val="11"/>
        <w:spacing w:before="0" w:beforeAutospacing="0" w:after="0" w:afterAutospacing="0" w:line="450" w:lineRule="atLeast"/>
        <w:jc w:val="center"/>
        <w:rPr>
          <w:sz w:val="21"/>
          <w:szCs w:val="21"/>
        </w:rPr>
      </w:pPr>
      <w:r>
        <w:drawing>
          <wp:inline distT="0" distB="0" distL="0" distR="0">
            <wp:extent cx="3552825" cy="33407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554114" cy="3342078"/>
                    </a:xfrm>
                    <a:prstGeom prst="rect">
                      <a:avLst/>
                    </a:prstGeom>
                    <a:noFill/>
                    <a:ln>
                      <a:noFill/>
                    </a:ln>
                  </pic:spPr>
                </pic:pic>
              </a:graphicData>
            </a:graphic>
          </wp:inline>
        </w:drawing>
      </w:r>
    </w:p>
    <w:p w14:paraId="317CBFFE">
      <w:pPr>
        <w:pStyle w:val="11"/>
        <w:spacing w:before="0" w:beforeAutospacing="0" w:after="0" w:afterAutospacing="0" w:line="450" w:lineRule="atLeast"/>
        <w:jc w:val="both"/>
        <w:rPr>
          <w:sz w:val="21"/>
          <w:szCs w:val="21"/>
        </w:rPr>
      </w:pPr>
      <w:r>
        <w:rPr>
          <w:rStyle w:val="16"/>
          <w:rFonts w:hint="eastAsia"/>
          <w:color w:val="333333"/>
          <w:sz w:val="44"/>
          <w:szCs w:val="44"/>
          <w:shd w:val="clear" w:color="auto" w:fill="FFFFFF"/>
        </w:rPr>
        <w:t> </w:t>
      </w:r>
    </w:p>
    <w:p w14:paraId="6B90DD55">
      <w:pPr>
        <w:pStyle w:val="11"/>
        <w:spacing w:before="0" w:beforeAutospacing="0" w:after="156" w:afterLines="50" w:afterAutospacing="0" w:line="450" w:lineRule="atLeast"/>
        <w:ind w:left="3030" w:hanging="3030" w:hangingChars="686"/>
        <w:jc w:val="both"/>
        <w:rPr>
          <w:sz w:val="21"/>
          <w:szCs w:val="21"/>
          <w:u w:val="single"/>
        </w:rPr>
      </w:pPr>
      <w:r>
        <w:rPr>
          <w:rStyle w:val="16"/>
          <w:rFonts w:hint="eastAsia"/>
          <w:color w:val="333333"/>
          <w:sz w:val="44"/>
          <w:szCs w:val="44"/>
          <w:shd w:val="clear" w:color="auto" w:fill="FFFFFF"/>
        </w:rPr>
        <w:t>招标项目名称:</w:t>
      </w:r>
      <w:r>
        <w:rPr>
          <w:rFonts w:hint="eastAsia"/>
        </w:rPr>
        <w:t xml:space="preserve"> </w:t>
      </w:r>
      <w:r>
        <w:rPr>
          <w:rStyle w:val="16"/>
          <w:rFonts w:hint="eastAsia"/>
          <w:color w:val="333333"/>
          <w:sz w:val="28"/>
          <w:szCs w:val="28"/>
          <w:u w:val="single"/>
          <w:shd w:val="clear" w:color="auto" w:fill="FFFFFF"/>
        </w:rPr>
        <w:t xml:space="preserve">虚拟化服务器集群更新项目                </w:t>
      </w:r>
    </w:p>
    <w:p w14:paraId="44C73E89">
      <w:pPr>
        <w:pStyle w:val="11"/>
        <w:spacing w:before="0" w:beforeAutospacing="0" w:after="156" w:afterLines="50" w:afterAutospacing="0" w:line="450" w:lineRule="atLeast"/>
        <w:jc w:val="both"/>
        <w:rPr>
          <w:sz w:val="28"/>
          <w:szCs w:val="28"/>
          <w:u w:val="single"/>
        </w:rPr>
      </w:pPr>
      <w:r>
        <w:rPr>
          <w:rStyle w:val="16"/>
          <w:rFonts w:hint="eastAsia"/>
          <w:color w:val="333333"/>
          <w:sz w:val="44"/>
          <w:szCs w:val="44"/>
          <w:shd w:val="clear" w:color="auto" w:fill="FFFFFF"/>
        </w:rPr>
        <w:t>编      号</w:t>
      </w:r>
      <w:r>
        <w:rPr>
          <w:rFonts w:hint="eastAsia"/>
          <w:color w:val="333333"/>
          <w:sz w:val="44"/>
          <w:szCs w:val="44"/>
          <w:shd w:val="clear" w:color="auto" w:fill="FFFFFF"/>
        </w:rPr>
        <w:t>:</w:t>
      </w:r>
      <w:r>
        <w:rPr>
          <w:rStyle w:val="16"/>
          <w:rFonts w:hint="eastAsia"/>
          <w:color w:val="333333"/>
          <w:sz w:val="28"/>
          <w:szCs w:val="28"/>
          <w:u w:val="single"/>
          <w:shd w:val="clear" w:color="auto" w:fill="FFFFFF"/>
        </w:rPr>
        <w:t> G2024-40</w:t>
      </w:r>
      <w:r>
        <w:rPr>
          <w:rStyle w:val="16"/>
          <w:color w:val="333333"/>
          <w:sz w:val="28"/>
          <w:szCs w:val="28"/>
          <w:u w:val="single"/>
          <w:shd w:val="clear" w:color="auto" w:fill="FFFFFF"/>
        </w:rPr>
        <w:t xml:space="preserve">          </w:t>
      </w:r>
      <w:r>
        <w:rPr>
          <w:rStyle w:val="16"/>
          <w:rFonts w:hint="eastAsia"/>
          <w:color w:val="333333"/>
          <w:sz w:val="32"/>
          <w:szCs w:val="32"/>
          <w:u w:val="single"/>
          <w:shd w:val="clear" w:color="auto" w:fill="FFFFFF"/>
        </w:rPr>
        <w:t xml:space="preserve">                 </w:t>
      </w:r>
    </w:p>
    <w:p w14:paraId="16C50A2B">
      <w:pPr>
        <w:pStyle w:val="11"/>
        <w:spacing w:before="0" w:beforeAutospacing="0" w:after="0" w:afterAutospacing="0" w:line="450" w:lineRule="atLeast"/>
        <w:jc w:val="both"/>
        <w:rPr>
          <w:sz w:val="21"/>
          <w:szCs w:val="21"/>
        </w:rPr>
      </w:pPr>
      <w:r>
        <w:rPr>
          <w:rFonts w:hint="eastAsia"/>
          <w:color w:val="333333"/>
          <w:sz w:val="44"/>
          <w:szCs w:val="44"/>
          <w:shd w:val="clear" w:color="auto" w:fill="FFFFFF"/>
        </w:rPr>
        <w:t> </w:t>
      </w:r>
    </w:p>
    <w:p w14:paraId="5FC34621">
      <w:pPr>
        <w:pStyle w:val="11"/>
        <w:spacing w:before="0" w:beforeAutospacing="0" w:after="0" w:afterAutospacing="0" w:line="450" w:lineRule="atLeast"/>
        <w:jc w:val="both"/>
        <w:rPr>
          <w:rStyle w:val="16"/>
          <w:color w:val="333333"/>
          <w:sz w:val="52"/>
          <w:szCs w:val="52"/>
          <w:shd w:val="clear" w:color="auto" w:fill="FFFFFF"/>
        </w:rPr>
      </w:pPr>
    </w:p>
    <w:p w14:paraId="487721C5">
      <w:pPr>
        <w:pStyle w:val="11"/>
        <w:spacing w:before="0" w:beforeAutospacing="0" w:after="0" w:afterAutospacing="0" w:line="450" w:lineRule="atLeast"/>
        <w:jc w:val="center"/>
        <w:rPr>
          <w:sz w:val="52"/>
          <w:szCs w:val="52"/>
        </w:rPr>
      </w:pPr>
      <w:r>
        <w:rPr>
          <w:rStyle w:val="16"/>
          <w:rFonts w:hint="eastAsia"/>
          <w:color w:val="333333"/>
          <w:sz w:val="52"/>
          <w:szCs w:val="52"/>
          <w:shd w:val="clear" w:color="auto" w:fill="FFFFFF"/>
        </w:rPr>
        <w:t>武汉工商学院招投标办公室</w:t>
      </w:r>
    </w:p>
    <w:p w14:paraId="14AA18E6">
      <w:pPr>
        <w:pStyle w:val="11"/>
        <w:spacing w:before="0" w:beforeAutospacing="0" w:after="0" w:afterAutospacing="0" w:line="450" w:lineRule="atLeast"/>
        <w:jc w:val="center"/>
        <w:rPr>
          <w:rStyle w:val="16"/>
          <w:color w:val="333333"/>
          <w:sz w:val="52"/>
          <w:szCs w:val="52"/>
          <w:shd w:val="clear" w:color="auto" w:fill="FFFFFF"/>
        </w:rPr>
      </w:pPr>
      <w:r>
        <w:rPr>
          <w:rStyle w:val="16"/>
          <w:rFonts w:hint="eastAsia"/>
          <w:color w:val="333333"/>
          <w:sz w:val="52"/>
          <w:szCs w:val="52"/>
          <w:shd w:val="clear" w:color="auto" w:fill="FFFFFF"/>
        </w:rPr>
        <w:t>二○二四年十二月</w:t>
      </w:r>
    </w:p>
    <w:p w14:paraId="130D4B07">
      <w:pPr>
        <w:spacing w:line="440" w:lineRule="exact"/>
        <w:jc w:val="center"/>
        <w:rPr>
          <w:rFonts w:ascii="仿宋" w:hAnsi="仿宋" w:eastAsia="仿宋"/>
          <w:b/>
          <w:sz w:val="32"/>
          <w:szCs w:val="32"/>
        </w:rPr>
      </w:pPr>
      <w:r>
        <w:rPr>
          <w:rFonts w:hint="eastAsia" w:ascii="仿宋" w:hAnsi="仿宋" w:eastAsia="仿宋"/>
          <w:b/>
          <w:sz w:val="32"/>
          <w:szCs w:val="32"/>
        </w:rPr>
        <w:t>第一部分</w:t>
      </w:r>
      <w:r>
        <w:rPr>
          <w:rFonts w:hint="eastAsia" w:ascii="宋体" w:hAnsi="宋体" w:cs="宋体"/>
          <w:b/>
          <w:sz w:val="32"/>
          <w:szCs w:val="32"/>
        </w:rPr>
        <w:t>  </w:t>
      </w:r>
      <w:r>
        <w:rPr>
          <w:rFonts w:hint="eastAsia" w:ascii="仿宋" w:hAnsi="仿宋" w:eastAsia="仿宋"/>
          <w:b/>
          <w:sz w:val="32"/>
          <w:szCs w:val="32"/>
        </w:rPr>
        <w:t xml:space="preserve"> 招（议）标邀请</w:t>
      </w:r>
    </w:p>
    <w:p w14:paraId="4003DACC">
      <w:pPr>
        <w:spacing w:line="440" w:lineRule="exact"/>
        <w:ind w:firstLine="480" w:firstLineChars="200"/>
        <w:jc w:val="left"/>
        <w:rPr>
          <w:rFonts w:ascii="仿宋" w:hAnsi="仿宋" w:eastAsia="仿宋"/>
          <w:sz w:val="24"/>
        </w:rPr>
      </w:pPr>
      <w:r>
        <w:rPr>
          <w:rFonts w:hint="eastAsia" w:ascii="仿宋" w:hAnsi="仿宋" w:eastAsia="仿宋"/>
          <w:sz w:val="24"/>
        </w:rPr>
        <w:t>根据我校实际需求，现面向社会邀请具有实力的单位进行我校的</w:t>
      </w:r>
      <w:r>
        <w:rPr>
          <w:rFonts w:hint="eastAsia" w:ascii="仿宋" w:hAnsi="仿宋" w:eastAsia="仿宋"/>
          <w:sz w:val="24"/>
          <w:u w:val="single"/>
        </w:rPr>
        <w:t>虚拟化服务器集群更新项目</w:t>
      </w:r>
      <w:r>
        <w:rPr>
          <w:rFonts w:hint="eastAsia" w:ascii="仿宋" w:hAnsi="仿宋" w:eastAsia="仿宋"/>
          <w:sz w:val="24"/>
        </w:rPr>
        <w:t>招标，欢迎能满足标书要求的厂家前来投标。</w:t>
      </w:r>
    </w:p>
    <w:p w14:paraId="0EC8E0E7">
      <w:pPr>
        <w:spacing w:line="420" w:lineRule="exact"/>
        <w:ind w:firstLine="482" w:firstLineChars="200"/>
        <w:jc w:val="left"/>
        <w:rPr>
          <w:rFonts w:ascii="仿宋" w:hAnsi="仿宋" w:eastAsia="仿宋"/>
          <w:bCs/>
          <w:sz w:val="24"/>
        </w:rPr>
      </w:pPr>
      <w:r>
        <w:rPr>
          <w:rFonts w:hint="eastAsia" w:ascii="仿宋" w:hAnsi="仿宋" w:eastAsia="仿宋"/>
          <w:b/>
          <w:sz w:val="24"/>
        </w:rPr>
        <w:t>一、招标项目名称：</w:t>
      </w:r>
      <w:r>
        <w:rPr>
          <w:rFonts w:hint="eastAsia" w:ascii="仿宋" w:hAnsi="仿宋" w:eastAsia="仿宋"/>
          <w:sz w:val="24"/>
          <w:u w:val="single"/>
        </w:rPr>
        <w:t>虚拟化服务器集群更新项目</w:t>
      </w:r>
    </w:p>
    <w:p w14:paraId="0DA0E4CF">
      <w:pPr>
        <w:spacing w:line="420" w:lineRule="exact"/>
        <w:ind w:firstLine="480" w:firstLineChars="200"/>
        <w:jc w:val="left"/>
        <w:rPr>
          <w:rFonts w:ascii="仿宋" w:hAnsi="仿宋" w:eastAsia="仿宋"/>
          <w:sz w:val="24"/>
        </w:rPr>
      </w:pPr>
      <w:r>
        <w:rPr>
          <w:rFonts w:hint="eastAsia" w:ascii="仿宋" w:hAnsi="仿宋" w:eastAsia="仿宋"/>
          <w:sz w:val="24"/>
        </w:rPr>
        <w:t xml:space="preserve">2024年12月19日下午4:00前，请有意向的单位将法人授权委托书、被委托人身份证、联系方式、营业执照副本等上述资料彩色扫描件（全部资料扫描为一个PDF文件）发送至331678357@qq.com邮箱，待招标方审查无误后，将联系供应商进行线上缴纳文件费，每份招标文件 </w:t>
      </w:r>
      <w:r>
        <w:rPr>
          <w:rFonts w:hint="eastAsia" w:ascii="仿宋" w:hAnsi="仿宋" w:eastAsia="仿宋"/>
          <w:sz w:val="24"/>
          <w:u w:val="single"/>
        </w:rPr>
        <w:t xml:space="preserve"> 500元</w:t>
      </w:r>
      <w:r>
        <w:rPr>
          <w:rFonts w:hint="eastAsia" w:ascii="仿宋" w:hAnsi="仿宋" w:eastAsia="仿宋"/>
          <w:sz w:val="24"/>
        </w:rPr>
        <w:t>（该费用收取后概不退还）。</w:t>
      </w:r>
    </w:p>
    <w:p w14:paraId="5F73F780">
      <w:pPr>
        <w:spacing w:line="420" w:lineRule="exact"/>
        <w:ind w:firstLine="480" w:firstLineChars="200"/>
        <w:jc w:val="left"/>
        <w:rPr>
          <w:rFonts w:ascii="仿宋" w:hAnsi="仿宋" w:eastAsia="仿宋"/>
          <w:sz w:val="24"/>
        </w:rPr>
      </w:pPr>
      <w:r>
        <w:rPr>
          <w:rFonts w:hint="eastAsia" w:ascii="仿宋" w:hAnsi="仿宋" w:eastAsia="仿宋"/>
          <w:sz w:val="24"/>
        </w:rPr>
        <w:t>递交标书费的账户信息:</w:t>
      </w:r>
    </w:p>
    <w:p w14:paraId="40B6E0F8">
      <w:pPr>
        <w:spacing w:line="420" w:lineRule="exact"/>
        <w:ind w:firstLine="480" w:firstLineChars="200"/>
        <w:jc w:val="left"/>
        <w:rPr>
          <w:rFonts w:ascii="仿宋" w:hAnsi="仿宋" w:eastAsia="仿宋"/>
          <w:sz w:val="24"/>
        </w:rPr>
      </w:pPr>
      <w:r>
        <w:rPr>
          <w:rFonts w:hint="eastAsia" w:ascii="仿宋" w:hAnsi="仿宋" w:eastAsia="仿宋"/>
          <w:sz w:val="24"/>
        </w:rPr>
        <w:t>支付宝账号：13995699032  户名：杜丹丹</w:t>
      </w:r>
    </w:p>
    <w:p w14:paraId="5D866A9C">
      <w:pPr>
        <w:spacing w:line="420" w:lineRule="exact"/>
        <w:ind w:firstLine="482" w:firstLineChars="200"/>
        <w:jc w:val="left"/>
        <w:rPr>
          <w:rFonts w:ascii="仿宋" w:hAnsi="仿宋" w:eastAsia="仿宋"/>
          <w:b/>
          <w:sz w:val="24"/>
        </w:rPr>
      </w:pPr>
      <w:r>
        <w:rPr>
          <w:rFonts w:hint="eastAsia" w:ascii="仿宋" w:hAnsi="仿宋" w:eastAsia="仿宋"/>
          <w:b/>
          <w:sz w:val="24"/>
        </w:rPr>
        <w:t>（请备注清楚单位名称及所投项目名称）</w:t>
      </w:r>
    </w:p>
    <w:p w14:paraId="704C5659">
      <w:pPr>
        <w:spacing w:line="420" w:lineRule="exact"/>
        <w:ind w:firstLine="480" w:firstLineChars="200"/>
        <w:jc w:val="left"/>
        <w:rPr>
          <w:rFonts w:ascii="仿宋" w:hAnsi="仿宋" w:eastAsia="仿宋"/>
          <w:sz w:val="24"/>
        </w:rPr>
      </w:pPr>
      <w:r>
        <w:rPr>
          <w:rFonts w:hint="eastAsia" w:ascii="仿宋" w:hAnsi="仿宋" w:eastAsia="仿宋"/>
          <w:sz w:val="24"/>
        </w:rPr>
        <w:t>每个投标单位在递交投标书之前,需交纳投标保证金</w:t>
      </w:r>
      <w:r>
        <w:rPr>
          <w:rFonts w:hint="eastAsia" w:ascii="仿宋" w:hAnsi="仿宋" w:eastAsia="仿宋"/>
          <w:sz w:val="24"/>
          <w:u w:val="single"/>
        </w:rPr>
        <w:t xml:space="preserve"> 伍万 元</w:t>
      </w:r>
      <w:r>
        <w:rPr>
          <w:rFonts w:hint="eastAsia" w:ascii="仿宋" w:hAnsi="仿宋" w:eastAsia="仿宋"/>
          <w:sz w:val="24"/>
        </w:rPr>
        <w:t>，开标后未中标单位的保证金在十个工作日内不计息全额退还,中标单位的保证金则转为合同履约保证金。</w:t>
      </w:r>
    </w:p>
    <w:p w14:paraId="5C32978C">
      <w:pPr>
        <w:spacing w:line="420" w:lineRule="exact"/>
        <w:ind w:firstLine="480" w:firstLineChars="200"/>
        <w:jc w:val="left"/>
        <w:rPr>
          <w:rFonts w:ascii="仿宋" w:hAnsi="仿宋" w:eastAsia="仿宋"/>
          <w:sz w:val="24"/>
        </w:rPr>
      </w:pPr>
      <w:r>
        <w:rPr>
          <w:rFonts w:hint="eastAsia" w:ascii="仿宋" w:hAnsi="仿宋" w:eastAsia="仿宋"/>
          <w:sz w:val="24"/>
        </w:rPr>
        <w:t>递交投标保证金的账户信息：</w:t>
      </w:r>
    </w:p>
    <w:p w14:paraId="0119B39F">
      <w:pPr>
        <w:spacing w:line="420" w:lineRule="exact"/>
        <w:ind w:firstLine="480" w:firstLineChars="200"/>
        <w:jc w:val="left"/>
        <w:rPr>
          <w:rFonts w:ascii="仿宋" w:hAnsi="仿宋" w:eastAsia="仿宋"/>
          <w:sz w:val="24"/>
        </w:rPr>
      </w:pPr>
      <w:r>
        <w:rPr>
          <w:rFonts w:hint="eastAsia" w:ascii="仿宋" w:hAnsi="仿宋" w:eastAsia="仿宋"/>
          <w:sz w:val="24"/>
        </w:rPr>
        <w:t>户  名：武汉工商学院</w:t>
      </w:r>
    </w:p>
    <w:p w14:paraId="59BFF9C1">
      <w:pPr>
        <w:spacing w:line="420" w:lineRule="exact"/>
        <w:ind w:firstLine="480" w:firstLineChars="200"/>
        <w:jc w:val="left"/>
        <w:rPr>
          <w:rFonts w:ascii="仿宋" w:hAnsi="仿宋" w:eastAsia="仿宋"/>
          <w:sz w:val="24"/>
        </w:rPr>
      </w:pPr>
      <w:r>
        <w:rPr>
          <w:rFonts w:hint="eastAsia" w:ascii="仿宋" w:hAnsi="仿宋" w:eastAsia="仿宋"/>
          <w:sz w:val="24"/>
        </w:rPr>
        <w:t>开户行及账号：建行武汉洪福支行42001237044050001270</w:t>
      </w:r>
    </w:p>
    <w:p w14:paraId="61F3148F">
      <w:pPr>
        <w:spacing w:line="420" w:lineRule="exact"/>
        <w:ind w:firstLine="482" w:firstLineChars="200"/>
        <w:jc w:val="left"/>
        <w:rPr>
          <w:rFonts w:ascii="仿宋" w:hAnsi="仿宋" w:eastAsia="仿宋"/>
          <w:b/>
          <w:sz w:val="24"/>
        </w:rPr>
      </w:pPr>
      <w:r>
        <w:rPr>
          <w:rFonts w:hint="eastAsia" w:ascii="仿宋" w:hAnsi="仿宋" w:eastAsia="仿宋"/>
          <w:b/>
          <w:sz w:val="24"/>
        </w:rPr>
        <w:t>二、投标截止时间：</w:t>
      </w:r>
    </w:p>
    <w:p w14:paraId="59BDEF56">
      <w:pPr>
        <w:spacing w:line="420" w:lineRule="exact"/>
        <w:ind w:firstLine="480" w:firstLineChars="200"/>
        <w:jc w:val="left"/>
        <w:rPr>
          <w:rFonts w:ascii="仿宋" w:hAnsi="仿宋" w:eastAsia="仿宋"/>
          <w:sz w:val="24"/>
        </w:rPr>
      </w:pPr>
      <w:r>
        <w:rPr>
          <w:rFonts w:hint="eastAsia" w:ascii="仿宋" w:hAnsi="仿宋" w:eastAsia="仿宋"/>
          <w:sz w:val="24"/>
        </w:rPr>
        <w:t>投标单位于2024年  月  日，将投标文件交到武汉工商学院招投标办公室。如有延误，视为废标；中标单位应在我校规定的时间内来签订合同，逾期视中标单位放弃中标，我校有权扣留保证金。</w:t>
      </w:r>
    </w:p>
    <w:p w14:paraId="4B1BC758">
      <w:pPr>
        <w:spacing w:line="420" w:lineRule="exact"/>
        <w:ind w:firstLine="482" w:firstLineChars="200"/>
        <w:rPr>
          <w:rFonts w:ascii="仿宋" w:hAnsi="仿宋" w:eastAsia="仿宋"/>
          <w:sz w:val="24"/>
        </w:rPr>
      </w:pPr>
      <w:r>
        <w:rPr>
          <w:rFonts w:hint="eastAsia" w:ascii="仿宋" w:hAnsi="仿宋" w:eastAsia="仿宋"/>
          <w:b/>
          <w:bCs/>
          <w:sz w:val="24"/>
        </w:rPr>
        <w:t>付款方式：</w:t>
      </w:r>
      <w:r>
        <w:rPr>
          <w:rFonts w:hint="eastAsia" w:ascii="仿宋" w:hAnsi="仿宋" w:eastAsia="仿宋"/>
          <w:sz w:val="24"/>
        </w:rPr>
        <w:t>施工完毕经验收合格后支付总货款的90%，验收合格满一年后付清余款。</w:t>
      </w:r>
    </w:p>
    <w:p w14:paraId="41990895">
      <w:pPr>
        <w:spacing w:line="420" w:lineRule="exact"/>
        <w:ind w:firstLine="482" w:firstLineChars="200"/>
        <w:rPr>
          <w:rFonts w:ascii="仿宋_GB2312" w:hAnsi="宋体" w:eastAsia="仿宋_GB2312"/>
          <w:sz w:val="28"/>
          <w:szCs w:val="28"/>
        </w:rPr>
      </w:pPr>
      <w:r>
        <w:rPr>
          <w:rFonts w:hint="eastAsia" w:ascii="仿宋" w:hAnsi="仿宋" w:eastAsia="仿宋"/>
          <w:b/>
          <w:sz w:val="24"/>
        </w:rPr>
        <w:t>工期：</w:t>
      </w:r>
      <w:r>
        <w:rPr>
          <w:rFonts w:hint="eastAsia" w:ascii="仿宋" w:hAnsi="仿宋" w:eastAsia="仿宋"/>
          <w:sz w:val="24"/>
        </w:rPr>
        <w:t>以招标方要求时间为准。</w:t>
      </w:r>
    </w:p>
    <w:p w14:paraId="423587F0">
      <w:pPr>
        <w:spacing w:line="420" w:lineRule="exact"/>
        <w:ind w:firstLine="482" w:firstLineChars="200"/>
        <w:jc w:val="left"/>
        <w:rPr>
          <w:rFonts w:ascii="仿宋" w:hAnsi="仿宋" w:eastAsia="仿宋"/>
          <w:sz w:val="24"/>
        </w:rPr>
      </w:pPr>
      <w:r>
        <w:rPr>
          <w:rFonts w:hint="eastAsia" w:ascii="仿宋" w:hAnsi="仿宋" w:eastAsia="仿宋"/>
          <w:b/>
          <w:sz w:val="24"/>
        </w:rPr>
        <w:t>开标时间及地点：</w:t>
      </w:r>
      <w:r>
        <w:rPr>
          <w:rFonts w:hint="eastAsia" w:ascii="仿宋" w:hAnsi="仿宋" w:eastAsia="仿宋"/>
          <w:kern w:val="0"/>
          <w:sz w:val="24"/>
        </w:rPr>
        <w:t>另行通知</w:t>
      </w:r>
      <w:r>
        <w:rPr>
          <w:rFonts w:hint="eastAsia" w:ascii="仿宋" w:hAnsi="仿宋" w:eastAsia="仿宋"/>
          <w:sz w:val="24"/>
        </w:rPr>
        <w:t>。</w:t>
      </w:r>
    </w:p>
    <w:p w14:paraId="29CC4AC7">
      <w:pPr>
        <w:spacing w:line="420" w:lineRule="exact"/>
        <w:ind w:firstLine="482" w:firstLineChars="200"/>
        <w:jc w:val="left"/>
        <w:rPr>
          <w:rFonts w:ascii="仿宋" w:hAnsi="仿宋" w:eastAsia="仿宋"/>
          <w:sz w:val="24"/>
        </w:rPr>
      </w:pPr>
      <w:r>
        <w:rPr>
          <w:rFonts w:hint="eastAsia" w:ascii="仿宋" w:hAnsi="仿宋" w:eastAsia="仿宋"/>
          <w:b/>
          <w:sz w:val="24"/>
        </w:rPr>
        <w:t>招标单位：</w:t>
      </w:r>
      <w:r>
        <w:rPr>
          <w:rFonts w:hint="eastAsia" w:ascii="仿宋" w:hAnsi="仿宋" w:eastAsia="仿宋"/>
          <w:sz w:val="24"/>
        </w:rPr>
        <w:t>武汉工商学院</w:t>
      </w:r>
    </w:p>
    <w:p w14:paraId="6F286D2C">
      <w:pPr>
        <w:spacing w:line="420" w:lineRule="exact"/>
        <w:ind w:firstLine="482" w:firstLineChars="200"/>
        <w:jc w:val="left"/>
        <w:rPr>
          <w:rFonts w:ascii="仿宋" w:hAnsi="仿宋" w:eastAsia="仿宋"/>
          <w:sz w:val="24"/>
        </w:rPr>
      </w:pPr>
      <w:r>
        <w:rPr>
          <w:rFonts w:hint="eastAsia" w:ascii="仿宋" w:hAnsi="仿宋" w:eastAsia="仿宋"/>
          <w:b/>
          <w:sz w:val="24"/>
        </w:rPr>
        <w:t>执行单位：</w:t>
      </w:r>
      <w:r>
        <w:rPr>
          <w:rFonts w:hint="eastAsia" w:ascii="仿宋" w:hAnsi="仿宋" w:eastAsia="仿宋"/>
          <w:sz w:val="24"/>
        </w:rPr>
        <w:t>武汉工商学院招投标办公室</w:t>
      </w:r>
    </w:p>
    <w:p w14:paraId="48D2F960">
      <w:pPr>
        <w:spacing w:line="420" w:lineRule="exact"/>
        <w:ind w:firstLine="482" w:firstLineChars="200"/>
        <w:jc w:val="left"/>
        <w:rPr>
          <w:rFonts w:ascii="仿宋" w:hAnsi="仿宋" w:eastAsia="仿宋"/>
          <w:sz w:val="24"/>
        </w:rPr>
      </w:pPr>
      <w:r>
        <w:rPr>
          <w:rFonts w:hint="eastAsia" w:ascii="仿宋" w:hAnsi="仿宋" w:eastAsia="仿宋"/>
          <w:b/>
          <w:sz w:val="24"/>
        </w:rPr>
        <w:t>地  址：</w:t>
      </w:r>
      <w:r>
        <w:rPr>
          <w:rFonts w:hint="eastAsia" w:ascii="仿宋" w:hAnsi="仿宋" w:eastAsia="仿宋"/>
          <w:sz w:val="24"/>
        </w:rPr>
        <w:t>武汉市洪山区黄家湖西路3号</w:t>
      </w:r>
    </w:p>
    <w:p w14:paraId="2F13D93B">
      <w:pPr>
        <w:spacing w:line="420" w:lineRule="exact"/>
        <w:ind w:firstLine="482" w:firstLineChars="200"/>
        <w:jc w:val="left"/>
        <w:rPr>
          <w:rFonts w:ascii="仿宋" w:hAnsi="仿宋" w:eastAsia="仿宋"/>
          <w:b/>
          <w:sz w:val="28"/>
          <w:szCs w:val="28"/>
        </w:rPr>
      </w:pPr>
      <w:r>
        <w:rPr>
          <w:rFonts w:hint="eastAsia" w:ascii="仿宋" w:hAnsi="仿宋" w:eastAsia="仿宋"/>
          <w:b/>
          <w:sz w:val="24"/>
        </w:rPr>
        <w:t>联 系 人：</w:t>
      </w:r>
      <w:r>
        <w:rPr>
          <w:rFonts w:hint="eastAsia" w:ascii="仿宋" w:hAnsi="仿宋" w:eastAsia="仿宋"/>
          <w:sz w:val="24"/>
        </w:rPr>
        <w:t>商务部分：胡老师  027-88147040</w:t>
      </w:r>
    </w:p>
    <w:p w14:paraId="17B4E556">
      <w:pPr>
        <w:spacing w:line="440" w:lineRule="exact"/>
        <w:ind w:firstLine="1680" w:firstLineChars="700"/>
        <w:rPr>
          <w:rFonts w:ascii="仿宋" w:hAnsi="仿宋" w:eastAsia="仿宋"/>
          <w:sz w:val="24"/>
        </w:rPr>
      </w:pPr>
      <w:r>
        <w:rPr>
          <w:rFonts w:ascii="仿宋" w:hAnsi="仿宋" w:eastAsia="仿宋"/>
          <w:sz w:val="24"/>
        </w:rPr>
        <w:t>技术部分：陈老师</w:t>
      </w:r>
      <w:r>
        <w:rPr>
          <w:rFonts w:hint="eastAsia" w:ascii="仿宋" w:hAnsi="仿宋" w:eastAsia="仿宋"/>
          <w:sz w:val="24"/>
        </w:rPr>
        <w:t xml:space="preserve">  18907123318</w:t>
      </w:r>
    </w:p>
    <w:p w14:paraId="2271A922">
      <w:pPr>
        <w:spacing w:line="440" w:lineRule="exact"/>
        <w:jc w:val="center"/>
        <w:rPr>
          <w:rFonts w:ascii="仿宋" w:hAnsi="仿宋" w:eastAsia="仿宋"/>
          <w:b/>
          <w:sz w:val="32"/>
          <w:szCs w:val="32"/>
        </w:rPr>
      </w:pPr>
    </w:p>
    <w:p w14:paraId="45036062">
      <w:pPr>
        <w:spacing w:line="440" w:lineRule="exact"/>
        <w:jc w:val="center"/>
        <w:rPr>
          <w:rFonts w:ascii="仿宋" w:hAnsi="仿宋" w:eastAsia="仿宋"/>
          <w:b/>
          <w:sz w:val="32"/>
          <w:szCs w:val="32"/>
        </w:rPr>
      </w:pPr>
    </w:p>
    <w:p w14:paraId="0032F605">
      <w:pPr>
        <w:spacing w:line="440" w:lineRule="exact"/>
        <w:jc w:val="center"/>
        <w:rPr>
          <w:rFonts w:ascii="仿宋" w:hAnsi="仿宋" w:eastAsia="仿宋"/>
          <w:b/>
          <w:sz w:val="32"/>
          <w:szCs w:val="32"/>
        </w:rPr>
      </w:pPr>
      <w:r>
        <w:rPr>
          <w:rFonts w:hint="eastAsia" w:ascii="仿宋" w:hAnsi="仿宋" w:eastAsia="仿宋"/>
          <w:b/>
          <w:sz w:val="32"/>
          <w:szCs w:val="32"/>
        </w:rPr>
        <w:t>第二部分   投标须知</w:t>
      </w:r>
      <w:bookmarkStart w:id="0" w:name="_Toc516597096"/>
      <w:bookmarkStart w:id="1" w:name="_Toc355795126"/>
      <w:bookmarkStart w:id="2" w:name="_Toc310528355"/>
      <w:bookmarkStart w:id="3" w:name="_Toc311463004"/>
    </w:p>
    <w:bookmarkEnd w:id="0"/>
    <w:bookmarkEnd w:id="1"/>
    <w:bookmarkEnd w:id="2"/>
    <w:bookmarkEnd w:id="3"/>
    <w:p w14:paraId="07F8C6AE">
      <w:pPr>
        <w:spacing w:line="440" w:lineRule="exact"/>
        <w:ind w:firstLine="482" w:firstLineChars="200"/>
        <w:jc w:val="left"/>
        <w:rPr>
          <w:rFonts w:ascii="仿宋" w:hAnsi="仿宋" w:eastAsia="仿宋"/>
          <w:b/>
          <w:sz w:val="24"/>
        </w:rPr>
      </w:pPr>
      <w:r>
        <w:rPr>
          <w:rFonts w:hint="eastAsia" w:ascii="仿宋" w:hAnsi="仿宋" w:eastAsia="仿宋"/>
          <w:b/>
          <w:sz w:val="24"/>
        </w:rPr>
        <w:t>一、招标方式：邀请招标、议评开标。</w:t>
      </w:r>
    </w:p>
    <w:p w14:paraId="69D2A621">
      <w:pPr>
        <w:spacing w:line="440" w:lineRule="exact"/>
        <w:ind w:firstLine="482" w:firstLineChars="200"/>
        <w:jc w:val="left"/>
        <w:rPr>
          <w:rFonts w:ascii="仿宋" w:hAnsi="仿宋" w:eastAsia="仿宋"/>
          <w:b/>
          <w:sz w:val="24"/>
        </w:rPr>
      </w:pPr>
      <w:r>
        <w:rPr>
          <w:rFonts w:hint="eastAsia" w:ascii="仿宋" w:hAnsi="仿宋" w:eastAsia="仿宋"/>
          <w:b/>
          <w:sz w:val="24"/>
        </w:rPr>
        <w:t>二、投标者要求及相关说明：</w:t>
      </w:r>
    </w:p>
    <w:p w14:paraId="5358F3F7">
      <w:pPr>
        <w:spacing w:line="500" w:lineRule="exact"/>
        <w:ind w:firstLine="480" w:firstLineChars="200"/>
        <w:rPr>
          <w:rFonts w:ascii="仿宋" w:hAnsi="仿宋" w:eastAsia="仿宋"/>
          <w:sz w:val="24"/>
        </w:rPr>
      </w:pPr>
      <w:r>
        <w:rPr>
          <w:rFonts w:hint="eastAsia" w:ascii="仿宋" w:hAnsi="仿宋" w:eastAsia="仿宋"/>
          <w:sz w:val="24"/>
        </w:rPr>
        <w:t>1、投标者具有独立法人资格，具有相应的经营资质和一定经营规模，具有良好的经营业绩，坚持诚信经营，有良好的服务保障。</w:t>
      </w:r>
    </w:p>
    <w:p w14:paraId="0A43180C">
      <w:pPr>
        <w:spacing w:line="500" w:lineRule="exact"/>
        <w:ind w:firstLine="480" w:firstLineChars="200"/>
        <w:rPr>
          <w:rFonts w:ascii="仿宋" w:hAnsi="仿宋" w:eastAsia="仿宋"/>
          <w:sz w:val="24"/>
        </w:rPr>
      </w:pPr>
      <w:r>
        <w:rPr>
          <w:rFonts w:hint="eastAsia" w:ascii="仿宋" w:hAnsi="仿宋" w:eastAsia="仿宋"/>
          <w:sz w:val="24"/>
        </w:rPr>
        <w:t>2、投标价均按人民币报价，且为含制作、运输、安装、验收及税价。</w:t>
      </w:r>
    </w:p>
    <w:p w14:paraId="0AF4379A">
      <w:pPr>
        <w:spacing w:line="440" w:lineRule="exact"/>
        <w:ind w:firstLine="482" w:firstLineChars="200"/>
        <w:jc w:val="left"/>
        <w:rPr>
          <w:rFonts w:ascii="仿宋" w:hAnsi="仿宋" w:eastAsia="仿宋"/>
          <w:b/>
          <w:sz w:val="24"/>
        </w:rPr>
      </w:pPr>
      <w:r>
        <w:rPr>
          <w:rFonts w:hint="eastAsia" w:ascii="仿宋" w:hAnsi="仿宋" w:eastAsia="仿宋"/>
          <w:b/>
          <w:sz w:val="24"/>
        </w:rPr>
        <w:t>三、投标费用：</w:t>
      </w:r>
      <w:r>
        <w:rPr>
          <w:rFonts w:hint="eastAsia" w:ascii="仿宋" w:hAnsi="仿宋" w:eastAsia="仿宋"/>
          <w:sz w:val="24"/>
        </w:rPr>
        <w:t>无论投标结果如何,投标者自行承担投标发生的所有费用。</w:t>
      </w:r>
    </w:p>
    <w:p w14:paraId="55272948">
      <w:pPr>
        <w:spacing w:line="440" w:lineRule="exact"/>
        <w:ind w:firstLine="482" w:firstLineChars="200"/>
        <w:jc w:val="left"/>
        <w:rPr>
          <w:rFonts w:ascii="仿宋" w:hAnsi="仿宋" w:eastAsia="仿宋"/>
          <w:b/>
          <w:sz w:val="24"/>
        </w:rPr>
      </w:pPr>
      <w:r>
        <w:rPr>
          <w:rFonts w:hint="eastAsia" w:ascii="仿宋" w:hAnsi="仿宋" w:eastAsia="仿宋"/>
          <w:b/>
          <w:sz w:val="24"/>
        </w:rPr>
        <w:t>四、投标书内容：</w:t>
      </w:r>
    </w:p>
    <w:p w14:paraId="492D5F17">
      <w:pPr>
        <w:spacing w:line="440" w:lineRule="exact"/>
        <w:ind w:firstLine="480" w:firstLineChars="200"/>
        <w:jc w:val="left"/>
        <w:rPr>
          <w:rFonts w:ascii="仿宋" w:hAnsi="仿宋" w:eastAsia="仿宋"/>
          <w:sz w:val="24"/>
        </w:rPr>
      </w:pPr>
      <w:r>
        <w:rPr>
          <w:rFonts w:hint="eastAsia" w:ascii="仿宋" w:hAnsi="仿宋" w:eastAsia="仿宋"/>
          <w:sz w:val="24"/>
        </w:rPr>
        <w:t>1、投标书正本一份，副本伍份。如副本内容与正本内容不符，则以正本为准（投标完后，标书概不退还）；</w:t>
      </w:r>
    </w:p>
    <w:p w14:paraId="1C6907CE">
      <w:pPr>
        <w:spacing w:line="440" w:lineRule="exact"/>
        <w:ind w:firstLine="480" w:firstLineChars="200"/>
        <w:jc w:val="left"/>
        <w:rPr>
          <w:rFonts w:ascii="仿宋" w:hAnsi="仿宋" w:eastAsia="仿宋"/>
          <w:sz w:val="24"/>
        </w:rPr>
      </w:pPr>
      <w:r>
        <w:rPr>
          <w:rFonts w:hint="eastAsia" w:ascii="仿宋" w:hAnsi="仿宋" w:eastAsia="仿宋"/>
          <w:sz w:val="24"/>
        </w:rPr>
        <w:t>2、产品详细报价，投标保证金缴纳凭证；</w:t>
      </w:r>
    </w:p>
    <w:p w14:paraId="534FE8A5">
      <w:pPr>
        <w:spacing w:line="440" w:lineRule="exact"/>
        <w:ind w:firstLine="480" w:firstLineChars="200"/>
        <w:jc w:val="left"/>
        <w:rPr>
          <w:rFonts w:ascii="仿宋" w:hAnsi="仿宋" w:eastAsia="仿宋"/>
          <w:sz w:val="24"/>
        </w:rPr>
      </w:pPr>
      <w:r>
        <w:rPr>
          <w:rFonts w:hint="eastAsia" w:ascii="仿宋" w:hAnsi="仿宋" w:eastAsia="仿宋"/>
          <w:sz w:val="24"/>
        </w:rPr>
        <w:t>3、故障响应时间及服务承诺细则；</w:t>
      </w:r>
    </w:p>
    <w:p w14:paraId="01AF26DC">
      <w:pPr>
        <w:spacing w:line="440" w:lineRule="exact"/>
        <w:ind w:firstLine="480" w:firstLineChars="200"/>
        <w:jc w:val="left"/>
        <w:rPr>
          <w:rFonts w:ascii="仿宋" w:hAnsi="仿宋" w:eastAsia="仿宋"/>
          <w:sz w:val="24"/>
        </w:rPr>
      </w:pPr>
      <w:r>
        <w:rPr>
          <w:rFonts w:hint="eastAsia" w:ascii="仿宋" w:hAnsi="仿宋" w:eastAsia="仿宋"/>
          <w:sz w:val="24"/>
        </w:rPr>
        <w:t>4、投标公司简介、企业法人营业执照、法人代表人身份证复印件和委托代理人身份证复印件、法人授权委托书、税务登记证、主要业绩、针对此次项目的原厂授权证明等。</w:t>
      </w:r>
    </w:p>
    <w:p w14:paraId="65286C42">
      <w:pPr>
        <w:spacing w:line="440" w:lineRule="exact"/>
        <w:ind w:firstLine="480" w:firstLineChars="200"/>
        <w:jc w:val="left"/>
        <w:rPr>
          <w:rFonts w:ascii="仿宋" w:hAnsi="仿宋" w:eastAsia="仿宋"/>
          <w:sz w:val="24"/>
        </w:rPr>
      </w:pPr>
      <w:r>
        <w:rPr>
          <w:rFonts w:hint="eastAsia" w:ascii="仿宋" w:hAnsi="仿宋" w:eastAsia="仿宋"/>
          <w:sz w:val="24"/>
        </w:rPr>
        <w:t>5、投标公司须列举近三年来在相近高校的经营业绩，包含联系人及联系方式，供货日期，合同金额等，至少列举3例以上，用表格形式。（务必真实）</w:t>
      </w:r>
    </w:p>
    <w:p w14:paraId="733736AC">
      <w:pPr>
        <w:spacing w:line="440" w:lineRule="exact"/>
        <w:ind w:firstLine="480" w:firstLineChars="200"/>
        <w:jc w:val="left"/>
        <w:rPr>
          <w:rFonts w:ascii="仿宋" w:hAnsi="仿宋" w:eastAsia="仿宋"/>
          <w:sz w:val="24"/>
        </w:rPr>
      </w:pPr>
      <w:r>
        <w:rPr>
          <w:rFonts w:hint="eastAsia" w:ascii="仿宋" w:hAnsi="仿宋" w:eastAsia="仿宋"/>
          <w:sz w:val="24"/>
        </w:rPr>
        <w:t>6、请投标方严格按照我方拟定的标书文件的顺序报价，并注明商品规格，产地等。</w:t>
      </w:r>
    </w:p>
    <w:p w14:paraId="51C939AC">
      <w:pPr>
        <w:spacing w:line="440" w:lineRule="exact"/>
        <w:ind w:firstLine="482" w:firstLineChars="200"/>
        <w:jc w:val="left"/>
        <w:rPr>
          <w:rFonts w:ascii="仿宋" w:hAnsi="仿宋" w:eastAsia="仿宋"/>
          <w:b/>
          <w:sz w:val="24"/>
        </w:rPr>
      </w:pPr>
      <w:r>
        <w:rPr>
          <w:rFonts w:hint="eastAsia" w:ascii="仿宋" w:hAnsi="仿宋" w:eastAsia="仿宋"/>
          <w:b/>
          <w:sz w:val="24"/>
        </w:rPr>
        <w:t>五、开标与评标：</w:t>
      </w:r>
    </w:p>
    <w:p w14:paraId="7F068597">
      <w:pPr>
        <w:spacing w:line="440" w:lineRule="exact"/>
        <w:ind w:firstLine="480" w:firstLineChars="200"/>
        <w:jc w:val="left"/>
        <w:rPr>
          <w:rFonts w:ascii="仿宋" w:hAnsi="仿宋" w:eastAsia="仿宋"/>
          <w:sz w:val="24"/>
        </w:rPr>
      </w:pPr>
      <w:r>
        <w:rPr>
          <w:rFonts w:hint="eastAsia" w:ascii="仿宋" w:hAnsi="仿宋" w:eastAsia="仿宋"/>
          <w:sz w:val="24"/>
        </w:rPr>
        <w:t>1、开标时间和地点：</w:t>
      </w:r>
      <w:r>
        <w:rPr>
          <w:rFonts w:hint="eastAsia" w:ascii="仿宋" w:hAnsi="仿宋" w:eastAsia="仿宋"/>
          <w:kern w:val="0"/>
          <w:sz w:val="24"/>
        </w:rPr>
        <w:t>另行通知</w:t>
      </w:r>
      <w:r>
        <w:rPr>
          <w:rFonts w:hint="eastAsia" w:ascii="仿宋" w:hAnsi="仿宋" w:eastAsia="仿宋"/>
          <w:sz w:val="24"/>
        </w:rPr>
        <w:t>。</w:t>
      </w:r>
    </w:p>
    <w:p w14:paraId="6A517E1F">
      <w:pPr>
        <w:spacing w:line="440" w:lineRule="exact"/>
        <w:ind w:firstLine="480" w:firstLineChars="200"/>
        <w:jc w:val="left"/>
        <w:rPr>
          <w:rFonts w:ascii="仿宋" w:hAnsi="仿宋" w:eastAsia="仿宋"/>
          <w:sz w:val="24"/>
        </w:rPr>
      </w:pPr>
      <w:r>
        <w:rPr>
          <w:rFonts w:hint="eastAsia" w:ascii="仿宋" w:hAnsi="仿宋" w:eastAsia="仿宋"/>
          <w:sz w:val="24"/>
        </w:rPr>
        <w:t>2、属于下列情况之一者视为废标：</w:t>
      </w:r>
    </w:p>
    <w:p w14:paraId="2CB12188">
      <w:pPr>
        <w:spacing w:line="440" w:lineRule="exact"/>
        <w:ind w:firstLine="480" w:firstLineChars="200"/>
        <w:jc w:val="left"/>
        <w:rPr>
          <w:rFonts w:ascii="仿宋" w:hAnsi="仿宋" w:eastAsia="仿宋"/>
          <w:sz w:val="24"/>
        </w:rPr>
      </w:pPr>
      <w:r>
        <w:rPr>
          <w:rFonts w:hint="eastAsia" w:ascii="仿宋" w:hAnsi="仿宋" w:eastAsia="仿宋"/>
          <w:sz w:val="24"/>
        </w:rPr>
        <w:t>2.1投标文件送达招标单位的时间超过规定的投标截止时间。</w:t>
      </w:r>
    </w:p>
    <w:p w14:paraId="7BB16191">
      <w:pPr>
        <w:spacing w:line="440" w:lineRule="exact"/>
        <w:ind w:firstLine="480" w:firstLineChars="200"/>
        <w:jc w:val="left"/>
        <w:rPr>
          <w:rFonts w:ascii="仿宋" w:hAnsi="仿宋" w:eastAsia="仿宋"/>
          <w:sz w:val="24"/>
        </w:rPr>
      </w:pPr>
      <w:r>
        <w:rPr>
          <w:rFonts w:hint="eastAsia" w:ascii="仿宋" w:hAnsi="仿宋" w:eastAsia="仿宋"/>
          <w:sz w:val="24"/>
        </w:rPr>
        <w:t>2.2投标文件未经法定代表人或委托代理人签字。</w:t>
      </w:r>
    </w:p>
    <w:p w14:paraId="16586095">
      <w:pPr>
        <w:spacing w:line="440" w:lineRule="exact"/>
        <w:ind w:firstLine="480" w:firstLineChars="200"/>
        <w:jc w:val="left"/>
        <w:rPr>
          <w:rFonts w:ascii="仿宋" w:hAnsi="仿宋" w:eastAsia="仿宋"/>
          <w:sz w:val="24"/>
        </w:rPr>
      </w:pPr>
      <w:r>
        <w:rPr>
          <w:rFonts w:hint="eastAsia" w:ascii="仿宋" w:hAnsi="仿宋" w:eastAsia="仿宋"/>
          <w:sz w:val="24"/>
        </w:rPr>
        <w:t>2.3开标后发现招标文件内容有虚假材料或信息。</w:t>
      </w:r>
    </w:p>
    <w:p w14:paraId="4559F779">
      <w:pPr>
        <w:spacing w:line="440" w:lineRule="exact"/>
        <w:ind w:firstLine="480" w:firstLineChars="200"/>
        <w:jc w:val="left"/>
        <w:rPr>
          <w:rFonts w:ascii="仿宋" w:hAnsi="仿宋" w:eastAsia="仿宋"/>
          <w:sz w:val="24"/>
        </w:rPr>
      </w:pPr>
      <w:r>
        <w:rPr>
          <w:rFonts w:hint="eastAsia" w:ascii="仿宋" w:hAnsi="仿宋" w:eastAsia="仿宋"/>
          <w:sz w:val="24"/>
        </w:rPr>
        <w:t>3、在开标之前，不允许投标方人员与评标成员接触，如果投标方试图在投标书审查、澄清、比较及签合同时向投标方人员施加不良影响，其投标将被视为无效投标或取消投标资格。</w:t>
      </w:r>
    </w:p>
    <w:p w14:paraId="6EAB5561">
      <w:pPr>
        <w:spacing w:line="440" w:lineRule="exact"/>
        <w:ind w:firstLine="480" w:firstLineChars="200"/>
        <w:jc w:val="left"/>
        <w:rPr>
          <w:rFonts w:ascii="仿宋" w:hAnsi="仿宋" w:eastAsia="仿宋"/>
          <w:sz w:val="24"/>
        </w:rPr>
      </w:pPr>
      <w:r>
        <w:rPr>
          <w:rFonts w:hint="eastAsia" w:ascii="仿宋" w:hAnsi="仿宋" w:eastAsia="仿宋"/>
          <w:sz w:val="24"/>
        </w:rPr>
        <w:t>4、本次招投标采取评标员集中议标方式，对未中标的单位我方不负责解释。</w:t>
      </w:r>
    </w:p>
    <w:p w14:paraId="160CDCB5">
      <w:pPr>
        <w:spacing w:line="440" w:lineRule="exact"/>
        <w:ind w:firstLine="480" w:firstLineChars="200"/>
        <w:jc w:val="left"/>
        <w:rPr>
          <w:rFonts w:ascii="仿宋" w:hAnsi="仿宋" w:eastAsia="仿宋"/>
          <w:sz w:val="24"/>
        </w:rPr>
      </w:pPr>
      <w:r>
        <w:rPr>
          <w:rFonts w:hint="eastAsia" w:ascii="仿宋" w:hAnsi="仿宋" w:eastAsia="仿宋"/>
          <w:sz w:val="24"/>
        </w:rPr>
        <w:t>5、投标单位不得相互串通损害招标单位的利益，一旦发现各投标单位之间串通作弊、哄抬标价，招标单位将取消所有参与串通的投标单位的投标资格并没收投标保证金。</w:t>
      </w:r>
    </w:p>
    <w:p w14:paraId="503A4EF6">
      <w:pPr>
        <w:spacing w:line="440" w:lineRule="exact"/>
        <w:ind w:firstLine="482" w:firstLineChars="200"/>
        <w:jc w:val="left"/>
        <w:rPr>
          <w:rFonts w:ascii="仿宋" w:hAnsi="仿宋" w:eastAsia="仿宋"/>
          <w:b/>
          <w:sz w:val="24"/>
        </w:rPr>
      </w:pPr>
      <w:r>
        <w:rPr>
          <w:rFonts w:hint="eastAsia" w:ascii="仿宋" w:hAnsi="仿宋" w:eastAsia="仿宋"/>
          <w:b/>
          <w:sz w:val="24"/>
        </w:rPr>
        <w:t>六、中标与签订合同</w:t>
      </w:r>
    </w:p>
    <w:p w14:paraId="03659646">
      <w:pPr>
        <w:spacing w:line="440" w:lineRule="exact"/>
        <w:ind w:firstLine="480" w:firstLineChars="200"/>
        <w:jc w:val="left"/>
        <w:rPr>
          <w:rFonts w:ascii="仿宋" w:hAnsi="仿宋" w:eastAsia="仿宋"/>
          <w:sz w:val="24"/>
        </w:rPr>
      </w:pPr>
      <w:r>
        <w:rPr>
          <w:rFonts w:hint="eastAsia" w:ascii="仿宋" w:hAnsi="仿宋" w:eastAsia="仿宋"/>
          <w:sz w:val="24"/>
        </w:rPr>
        <w:t>1、自开标之日起7日内，招标单位向符合条件的单位进行考察，最后商议定标。</w:t>
      </w:r>
    </w:p>
    <w:p w14:paraId="060F391F">
      <w:pPr>
        <w:spacing w:line="440" w:lineRule="exact"/>
        <w:ind w:firstLine="480" w:firstLineChars="200"/>
        <w:jc w:val="left"/>
        <w:rPr>
          <w:rFonts w:ascii="仿宋" w:hAnsi="仿宋" w:eastAsia="仿宋"/>
          <w:sz w:val="24"/>
        </w:rPr>
      </w:pPr>
      <w:r>
        <w:rPr>
          <w:rFonts w:hint="eastAsia" w:ascii="仿宋" w:hAnsi="仿宋" w:eastAsia="仿宋"/>
          <w:sz w:val="24"/>
        </w:rPr>
        <w:t>2、中标单位如果未按招标单位规定的日期签订合同，或故意拖延签订合同，则招标单位可以扣除其投标保证金并取消其中标资格，另选中标单位。</w:t>
      </w:r>
    </w:p>
    <w:p w14:paraId="4DBF1C6F">
      <w:pPr>
        <w:spacing w:line="440" w:lineRule="exact"/>
        <w:ind w:firstLine="480" w:firstLineChars="200"/>
        <w:jc w:val="left"/>
        <w:rPr>
          <w:rFonts w:ascii="仿宋" w:hAnsi="仿宋" w:eastAsia="仿宋"/>
          <w:sz w:val="24"/>
        </w:rPr>
      </w:pPr>
      <w:r>
        <w:rPr>
          <w:rFonts w:hint="eastAsia" w:ascii="仿宋" w:hAnsi="仿宋" w:eastAsia="仿宋"/>
          <w:sz w:val="24"/>
        </w:rPr>
        <w:t>3、中标单位的投标保证金转为合同履约金。</w:t>
      </w:r>
    </w:p>
    <w:p w14:paraId="65C02CA0">
      <w:pPr>
        <w:spacing w:line="440" w:lineRule="exact"/>
        <w:ind w:firstLine="480" w:firstLineChars="200"/>
        <w:jc w:val="left"/>
        <w:rPr>
          <w:rFonts w:ascii="仿宋" w:hAnsi="仿宋" w:eastAsia="仿宋"/>
          <w:sz w:val="24"/>
        </w:rPr>
      </w:pPr>
      <w:r>
        <w:rPr>
          <w:rFonts w:hint="eastAsia" w:ascii="仿宋" w:hAnsi="仿宋" w:eastAsia="仿宋"/>
          <w:sz w:val="24"/>
        </w:rPr>
        <w:t>4、本招标文件未尽事宜，以合同为准。</w:t>
      </w:r>
    </w:p>
    <w:p w14:paraId="64CF80BD">
      <w:pPr>
        <w:spacing w:line="440" w:lineRule="exact"/>
        <w:ind w:firstLine="482" w:firstLineChars="200"/>
        <w:jc w:val="left"/>
        <w:rPr>
          <w:rFonts w:ascii="仿宋" w:hAnsi="仿宋" w:eastAsia="仿宋"/>
          <w:b/>
          <w:sz w:val="24"/>
        </w:rPr>
      </w:pPr>
      <w:r>
        <w:rPr>
          <w:rFonts w:hint="eastAsia" w:ascii="仿宋" w:hAnsi="仿宋" w:eastAsia="仿宋"/>
          <w:b/>
          <w:sz w:val="24"/>
        </w:rPr>
        <w:t>七、投标单位如有任何疑问，可以向我方招标负责人进行咨询。</w:t>
      </w:r>
    </w:p>
    <w:p w14:paraId="25E7EE19">
      <w:pPr>
        <w:spacing w:line="440" w:lineRule="exact"/>
        <w:ind w:firstLine="482" w:firstLineChars="200"/>
        <w:jc w:val="left"/>
        <w:rPr>
          <w:rFonts w:ascii="仿宋" w:hAnsi="仿宋" w:eastAsia="仿宋"/>
          <w:b/>
          <w:sz w:val="24"/>
        </w:rPr>
      </w:pPr>
      <w:r>
        <w:rPr>
          <w:rFonts w:hint="eastAsia" w:ascii="仿宋" w:hAnsi="仿宋" w:eastAsia="仿宋"/>
          <w:b/>
          <w:sz w:val="24"/>
        </w:rPr>
        <w:t>八、武汉工商学院招投标办公室保留此招标文件的解释权。</w:t>
      </w:r>
    </w:p>
    <w:p w14:paraId="7378758E"/>
    <w:p w14:paraId="008DF9FC">
      <w:pPr>
        <w:spacing w:line="440" w:lineRule="exact"/>
        <w:jc w:val="center"/>
        <w:rPr>
          <w:rFonts w:ascii="仿宋" w:hAnsi="仿宋" w:eastAsia="仿宋"/>
          <w:b/>
          <w:sz w:val="32"/>
          <w:szCs w:val="32"/>
        </w:rPr>
      </w:pPr>
    </w:p>
    <w:p w14:paraId="6C3F1E89">
      <w:pPr>
        <w:spacing w:line="440" w:lineRule="exact"/>
        <w:jc w:val="center"/>
        <w:rPr>
          <w:rFonts w:ascii="仿宋" w:hAnsi="仿宋" w:eastAsia="仿宋"/>
          <w:b/>
          <w:sz w:val="32"/>
          <w:szCs w:val="32"/>
        </w:rPr>
      </w:pPr>
    </w:p>
    <w:p w14:paraId="5B619D4B">
      <w:pPr>
        <w:spacing w:line="440" w:lineRule="exact"/>
        <w:jc w:val="center"/>
        <w:rPr>
          <w:rFonts w:ascii="仿宋" w:hAnsi="仿宋" w:eastAsia="仿宋"/>
          <w:b/>
          <w:sz w:val="32"/>
          <w:szCs w:val="32"/>
        </w:rPr>
      </w:pPr>
    </w:p>
    <w:p w14:paraId="02ECB335">
      <w:pPr>
        <w:spacing w:line="440" w:lineRule="exact"/>
        <w:jc w:val="center"/>
        <w:rPr>
          <w:rFonts w:ascii="仿宋" w:hAnsi="仿宋" w:eastAsia="仿宋"/>
          <w:b/>
          <w:sz w:val="32"/>
          <w:szCs w:val="32"/>
        </w:rPr>
      </w:pPr>
    </w:p>
    <w:p w14:paraId="3CB48440">
      <w:pPr>
        <w:spacing w:line="440" w:lineRule="exact"/>
        <w:jc w:val="center"/>
        <w:rPr>
          <w:rFonts w:ascii="仿宋" w:hAnsi="仿宋" w:eastAsia="仿宋"/>
          <w:b/>
          <w:sz w:val="32"/>
          <w:szCs w:val="32"/>
        </w:rPr>
      </w:pPr>
    </w:p>
    <w:p w14:paraId="3C354B6E">
      <w:pPr>
        <w:spacing w:line="440" w:lineRule="exact"/>
        <w:jc w:val="center"/>
        <w:rPr>
          <w:rFonts w:ascii="仿宋" w:hAnsi="仿宋" w:eastAsia="仿宋"/>
          <w:b/>
          <w:sz w:val="32"/>
          <w:szCs w:val="32"/>
        </w:rPr>
      </w:pPr>
    </w:p>
    <w:p w14:paraId="6E757C14">
      <w:pPr>
        <w:spacing w:line="440" w:lineRule="exact"/>
        <w:jc w:val="center"/>
        <w:rPr>
          <w:rFonts w:ascii="仿宋" w:hAnsi="仿宋" w:eastAsia="仿宋"/>
          <w:b/>
          <w:sz w:val="32"/>
          <w:szCs w:val="32"/>
        </w:rPr>
      </w:pPr>
    </w:p>
    <w:p w14:paraId="38645FA2">
      <w:pPr>
        <w:spacing w:line="440" w:lineRule="exact"/>
        <w:jc w:val="center"/>
        <w:rPr>
          <w:rFonts w:ascii="仿宋" w:hAnsi="仿宋" w:eastAsia="仿宋"/>
          <w:b/>
          <w:sz w:val="32"/>
          <w:szCs w:val="32"/>
        </w:rPr>
      </w:pPr>
    </w:p>
    <w:p w14:paraId="2272A3D8">
      <w:pPr>
        <w:spacing w:line="440" w:lineRule="exact"/>
        <w:jc w:val="center"/>
        <w:rPr>
          <w:rFonts w:ascii="仿宋" w:hAnsi="仿宋" w:eastAsia="仿宋"/>
          <w:b/>
          <w:sz w:val="32"/>
          <w:szCs w:val="32"/>
        </w:rPr>
      </w:pPr>
    </w:p>
    <w:p w14:paraId="262A64C7">
      <w:pPr>
        <w:spacing w:line="440" w:lineRule="exact"/>
        <w:jc w:val="center"/>
        <w:rPr>
          <w:rFonts w:ascii="仿宋" w:hAnsi="仿宋" w:eastAsia="仿宋"/>
          <w:b/>
          <w:sz w:val="32"/>
          <w:szCs w:val="32"/>
        </w:rPr>
      </w:pPr>
    </w:p>
    <w:p w14:paraId="04D1FFCB">
      <w:pPr>
        <w:spacing w:line="440" w:lineRule="exact"/>
        <w:jc w:val="center"/>
        <w:rPr>
          <w:rFonts w:ascii="仿宋" w:hAnsi="仿宋" w:eastAsia="仿宋"/>
          <w:b/>
          <w:sz w:val="32"/>
          <w:szCs w:val="32"/>
        </w:rPr>
      </w:pPr>
    </w:p>
    <w:p w14:paraId="5E573BE3">
      <w:pPr>
        <w:spacing w:line="440" w:lineRule="exact"/>
        <w:jc w:val="center"/>
        <w:rPr>
          <w:rFonts w:ascii="仿宋" w:hAnsi="仿宋" w:eastAsia="仿宋"/>
          <w:b/>
          <w:sz w:val="32"/>
          <w:szCs w:val="32"/>
        </w:rPr>
      </w:pPr>
    </w:p>
    <w:p w14:paraId="17F86B4D">
      <w:pPr>
        <w:spacing w:line="440" w:lineRule="exact"/>
        <w:jc w:val="center"/>
        <w:rPr>
          <w:rFonts w:ascii="仿宋" w:hAnsi="仿宋" w:eastAsia="仿宋"/>
          <w:b/>
          <w:sz w:val="32"/>
          <w:szCs w:val="32"/>
        </w:rPr>
      </w:pPr>
    </w:p>
    <w:p w14:paraId="7F41CA48">
      <w:pPr>
        <w:spacing w:line="440" w:lineRule="exact"/>
        <w:jc w:val="center"/>
        <w:rPr>
          <w:rFonts w:ascii="仿宋" w:hAnsi="仿宋" w:eastAsia="仿宋"/>
          <w:b/>
          <w:sz w:val="32"/>
          <w:szCs w:val="32"/>
        </w:rPr>
      </w:pPr>
    </w:p>
    <w:p w14:paraId="54A213F3">
      <w:pPr>
        <w:spacing w:line="440" w:lineRule="exact"/>
        <w:jc w:val="center"/>
        <w:rPr>
          <w:rFonts w:ascii="仿宋" w:hAnsi="仿宋" w:eastAsia="仿宋"/>
          <w:b/>
          <w:sz w:val="32"/>
          <w:szCs w:val="32"/>
        </w:rPr>
      </w:pPr>
    </w:p>
    <w:p w14:paraId="215A0815">
      <w:pPr>
        <w:spacing w:line="440" w:lineRule="exact"/>
        <w:jc w:val="center"/>
        <w:rPr>
          <w:rFonts w:ascii="仿宋" w:hAnsi="仿宋" w:eastAsia="仿宋"/>
          <w:b/>
          <w:sz w:val="32"/>
          <w:szCs w:val="32"/>
        </w:rPr>
      </w:pPr>
    </w:p>
    <w:p w14:paraId="7FE13232">
      <w:pPr>
        <w:spacing w:line="440" w:lineRule="exact"/>
        <w:jc w:val="center"/>
        <w:rPr>
          <w:rFonts w:ascii="仿宋" w:hAnsi="仿宋" w:eastAsia="仿宋"/>
          <w:b/>
          <w:sz w:val="32"/>
          <w:szCs w:val="32"/>
        </w:rPr>
      </w:pPr>
    </w:p>
    <w:p w14:paraId="3FE61897">
      <w:pPr>
        <w:spacing w:line="440" w:lineRule="exact"/>
        <w:jc w:val="center"/>
        <w:rPr>
          <w:rFonts w:ascii="仿宋" w:hAnsi="仿宋" w:eastAsia="仿宋"/>
          <w:b/>
          <w:sz w:val="32"/>
          <w:szCs w:val="32"/>
        </w:rPr>
      </w:pPr>
    </w:p>
    <w:p w14:paraId="4AFAD8D7">
      <w:pPr>
        <w:spacing w:line="440" w:lineRule="exact"/>
        <w:jc w:val="center"/>
        <w:rPr>
          <w:rFonts w:ascii="仿宋" w:hAnsi="仿宋" w:eastAsia="仿宋"/>
          <w:b/>
          <w:sz w:val="32"/>
          <w:szCs w:val="32"/>
        </w:rPr>
      </w:pPr>
    </w:p>
    <w:p w14:paraId="6E561480">
      <w:pPr>
        <w:spacing w:line="440" w:lineRule="exact"/>
        <w:jc w:val="center"/>
        <w:rPr>
          <w:rFonts w:ascii="仿宋" w:hAnsi="仿宋" w:eastAsia="仿宋"/>
          <w:b/>
          <w:sz w:val="32"/>
          <w:szCs w:val="32"/>
        </w:rPr>
      </w:pPr>
    </w:p>
    <w:p w14:paraId="063F4453">
      <w:pPr>
        <w:spacing w:line="440" w:lineRule="exact"/>
        <w:rPr>
          <w:rFonts w:ascii="仿宋" w:hAnsi="仿宋" w:eastAsia="仿宋"/>
          <w:b/>
          <w:sz w:val="32"/>
          <w:szCs w:val="32"/>
        </w:rPr>
        <w:sectPr>
          <w:pgSz w:w="11906" w:h="16838"/>
          <w:pgMar w:top="1440" w:right="1800" w:bottom="1440" w:left="1800" w:header="851" w:footer="992" w:gutter="0"/>
          <w:cols w:space="425" w:num="1"/>
          <w:docGrid w:type="lines" w:linePitch="312" w:charSpace="0"/>
        </w:sectPr>
      </w:pPr>
    </w:p>
    <w:p w14:paraId="7524C62F">
      <w:pPr>
        <w:spacing w:line="440" w:lineRule="exact"/>
        <w:jc w:val="center"/>
        <w:rPr>
          <w:rFonts w:ascii="仿宋" w:hAnsi="仿宋" w:eastAsia="仿宋"/>
          <w:b/>
          <w:sz w:val="32"/>
          <w:szCs w:val="32"/>
        </w:rPr>
      </w:pPr>
      <w:r>
        <w:rPr>
          <w:rFonts w:hint="eastAsia" w:ascii="仿宋" w:hAnsi="仿宋" w:eastAsia="仿宋"/>
          <w:b/>
          <w:sz w:val="32"/>
          <w:szCs w:val="32"/>
        </w:rPr>
        <w:t>第三部分 技术要求</w:t>
      </w:r>
    </w:p>
    <w:p w14:paraId="79F4FC18">
      <w:pPr>
        <w:spacing w:line="440" w:lineRule="exact"/>
        <w:ind w:firstLine="482" w:firstLineChars="200"/>
        <w:rPr>
          <w:rFonts w:ascii="仿宋" w:hAnsi="仿宋" w:eastAsia="仿宋"/>
          <w:b/>
          <w:sz w:val="24"/>
          <w:szCs w:val="24"/>
        </w:rPr>
      </w:pPr>
      <w:r>
        <w:rPr>
          <w:rFonts w:hint="eastAsia" w:ascii="仿宋" w:hAnsi="仿宋" w:eastAsia="仿宋"/>
          <w:b/>
          <w:sz w:val="24"/>
          <w:szCs w:val="24"/>
        </w:rPr>
        <w:t>一、虚拟化平台兼容性</w:t>
      </w:r>
    </w:p>
    <w:p w14:paraId="26CC5598">
      <w:pPr>
        <w:spacing w:line="440" w:lineRule="exact"/>
        <w:ind w:firstLine="480" w:firstLineChars="200"/>
        <w:rPr>
          <w:rFonts w:ascii="仿宋" w:hAnsi="仿宋" w:eastAsia="仿宋"/>
          <w:sz w:val="24"/>
          <w:szCs w:val="24"/>
        </w:rPr>
      </w:pPr>
      <w:r>
        <w:rPr>
          <w:rFonts w:hint="eastAsia" w:ascii="仿宋" w:hAnsi="仿宋" w:eastAsia="仿宋"/>
          <w:sz w:val="24"/>
          <w:szCs w:val="24"/>
        </w:rPr>
        <w:t>1.</w:t>
      </w:r>
      <w:r>
        <w:rPr>
          <w:rFonts w:hint="eastAsia" w:ascii="宋体" w:hAnsi="宋体" w:eastAsia="宋体" w:cs="宋体"/>
          <w:sz w:val="24"/>
          <w:szCs w:val="24"/>
        </w:rPr>
        <w:t> </w:t>
      </w:r>
      <w:r>
        <w:rPr>
          <w:rFonts w:hint="eastAsia" w:ascii="仿宋" w:hAnsi="仿宋" w:eastAsia="仿宋"/>
          <w:sz w:val="24"/>
          <w:szCs w:val="24"/>
        </w:rPr>
        <w:t>所采购的服务器需与VMware vSphere高度兼容，确保能够顺利安装、配置和稳定运行虚拟化环境，并且在未来软件版本升级时不会出现兼容性问题。</w:t>
      </w:r>
    </w:p>
    <w:p w14:paraId="2C5259BE">
      <w:pPr>
        <w:spacing w:line="440" w:lineRule="exact"/>
        <w:ind w:firstLine="480" w:firstLineChars="200"/>
        <w:rPr>
          <w:rFonts w:ascii="仿宋" w:hAnsi="仿宋" w:eastAsia="仿宋"/>
          <w:sz w:val="24"/>
          <w:szCs w:val="24"/>
        </w:rPr>
      </w:pPr>
      <w:r>
        <w:rPr>
          <w:rFonts w:hint="eastAsia" w:ascii="仿宋" w:hAnsi="仿宋" w:eastAsia="仿宋"/>
          <w:sz w:val="24"/>
          <w:szCs w:val="24"/>
        </w:rPr>
        <w:t>2.</w:t>
      </w:r>
      <w:r>
        <w:rPr>
          <w:rFonts w:hint="eastAsia" w:ascii="宋体" w:hAnsi="宋体" w:eastAsia="宋体" w:cs="宋体"/>
          <w:sz w:val="24"/>
          <w:szCs w:val="24"/>
        </w:rPr>
        <w:t> </w:t>
      </w:r>
      <w:r>
        <w:rPr>
          <w:rFonts w:hint="eastAsia" w:ascii="仿宋" w:hAnsi="仿宋" w:eastAsia="仿宋"/>
          <w:sz w:val="24"/>
          <w:szCs w:val="24"/>
        </w:rPr>
        <w:t>支持不同类型虚拟机（Windows、Linux 等操作系统）在同一物理服务器上的高效共存与协同工作，具备良好的虚拟机迁移功能，可实现在不同物理服务器间在线迁移虚拟机(包括配置有NVIDIA VGPU的虚拟机)，迁移过程中业务不可中断，并提供官方证明材料以证明兼容性。</w:t>
      </w:r>
    </w:p>
    <w:p w14:paraId="77C189C0">
      <w:pPr>
        <w:spacing w:line="440" w:lineRule="exact"/>
        <w:ind w:firstLine="482" w:firstLineChars="200"/>
        <w:rPr>
          <w:rFonts w:ascii="仿宋" w:hAnsi="仿宋" w:eastAsia="仿宋"/>
          <w:b/>
          <w:sz w:val="24"/>
          <w:szCs w:val="24"/>
        </w:rPr>
      </w:pPr>
      <w:r>
        <w:rPr>
          <w:rFonts w:hint="eastAsia" w:ascii="仿宋" w:hAnsi="仿宋" w:eastAsia="仿宋"/>
          <w:b/>
          <w:sz w:val="24"/>
          <w:szCs w:val="24"/>
        </w:rPr>
        <w:t>二、单台服务器硬件性能</w:t>
      </w:r>
    </w:p>
    <w:p w14:paraId="575DE0A7">
      <w:pPr>
        <w:spacing w:line="440" w:lineRule="exact"/>
        <w:ind w:firstLine="480" w:firstLineChars="200"/>
        <w:rPr>
          <w:rFonts w:ascii="仿宋" w:hAnsi="仿宋" w:eastAsia="仿宋"/>
          <w:sz w:val="24"/>
          <w:szCs w:val="24"/>
        </w:rPr>
      </w:pPr>
      <w:r>
        <w:rPr>
          <w:rFonts w:hint="eastAsia" w:ascii="仿宋" w:hAnsi="仿宋" w:eastAsia="仿宋"/>
          <w:sz w:val="24"/>
          <w:szCs w:val="24"/>
        </w:rPr>
        <w:t>（一）处理器</w:t>
      </w:r>
    </w:p>
    <w:p w14:paraId="23B1363D">
      <w:pPr>
        <w:spacing w:line="440" w:lineRule="exact"/>
        <w:ind w:firstLine="480" w:firstLineChars="200"/>
        <w:rPr>
          <w:rFonts w:ascii="仿宋" w:hAnsi="仿宋" w:eastAsia="仿宋"/>
          <w:sz w:val="24"/>
          <w:szCs w:val="24"/>
        </w:rPr>
      </w:pPr>
      <w:r>
        <w:rPr>
          <w:rFonts w:hint="eastAsia" w:ascii="仿宋" w:hAnsi="仿宋" w:eastAsia="仿宋"/>
          <w:sz w:val="24"/>
          <w:szCs w:val="24"/>
        </w:rPr>
        <w:t>配备多核心高性能处理器，每颗处理器核心数不少于12个，线程不低于24，主频不低于2.4GHz，具备智能睿频加速技术，能够根据虚拟机负载动态调整处理器频率，以平衡性能与能耗。</w:t>
      </w:r>
    </w:p>
    <w:p w14:paraId="796CEA69">
      <w:pPr>
        <w:spacing w:line="440" w:lineRule="exact"/>
        <w:ind w:firstLine="480" w:firstLineChars="200"/>
        <w:rPr>
          <w:rFonts w:ascii="仿宋" w:hAnsi="仿宋" w:eastAsia="仿宋"/>
          <w:sz w:val="24"/>
          <w:szCs w:val="24"/>
        </w:rPr>
      </w:pPr>
      <w:r>
        <w:rPr>
          <w:rFonts w:hint="eastAsia" w:ascii="仿宋" w:hAnsi="仿宋" w:eastAsia="仿宋"/>
          <w:sz w:val="24"/>
          <w:szCs w:val="24"/>
        </w:rPr>
        <w:t>（二）内存</w:t>
      </w:r>
    </w:p>
    <w:p w14:paraId="176D1470">
      <w:pPr>
        <w:spacing w:line="440" w:lineRule="exact"/>
        <w:ind w:firstLine="480" w:firstLineChars="200"/>
        <w:rPr>
          <w:rFonts w:ascii="仿宋" w:hAnsi="仿宋" w:eastAsia="仿宋"/>
          <w:sz w:val="24"/>
          <w:szCs w:val="24"/>
        </w:rPr>
      </w:pPr>
      <w:r>
        <w:rPr>
          <w:rFonts w:hint="eastAsia" w:ascii="仿宋" w:hAnsi="仿宋" w:eastAsia="仿宋"/>
          <w:sz w:val="24"/>
          <w:szCs w:val="24"/>
        </w:rPr>
        <w:t>内存容量不少于256GB，采用高速 DDR5内存技术，内存频率不低于5600MHz，具备内存纠错（ECC）功能，确保数据存储和传输的准确性与稳定性。</w:t>
      </w:r>
    </w:p>
    <w:p w14:paraId="078C0FDC">
      <w:pPr>
        <w:spacing w:line="440" w:lineRule="exact"/>
        <w:ind w:firstLine="480" w:firstLineChars="200"/>
        <w:rPr>
          <w:rFonts w:ascii="仿宋" w:hAnsi="仿宋" w:eastAsia="仿宋"/>
          <w:sz w:val="24"/>
          <w:szCs w:val="24"/>
        </w:rPr>
      </w:pPr>
      <w:r>
        <w:rPr>
          <w:rFonts w:hint="eastAsia" w:ascii="仿宋" w:hAnsi="仿宋" w:eastAsia="仿宋"/>
          <w:sz w:val="24"/>
          <w:szCs w:val="24"/>
        </w:rPr>
        <w:t>（三）硬盘</w:t>
      </w:r>
    </w:p>
    <w:p w14:paraId="05D1D3B3">
      <w:pPr>
        <w:spacing w:line="440" w:lineRule="exact"/>
        <w:ind w:firstLine="480" w:firstLineChars="200"/>
        <w:rPr>
          <w:rFonts w:ascii="仿宋" w:hAnsi="仿宋" w:eastAsia="仿宋"/>
          <w:sz w:val="24"/>
          <w:szCs w:val="24"/>
        </w:rPr>
      </w:pPr>
      <w:r>
        <w:rPr>
          <w:rFonts w:hint="eastAsia" w:ascii="仿宋" w:hAnsi="仿宋" w:eastAsia="仿宋"/>
          <w:sz w:val="24"/>
          <w:szCs w:val="24"/>
        </w:rPr>
        <w:t>1.</w:t>
      </w:r>
      <w:r>
        <w:rPr>
          <w:rFonts w:hint="eastAsia" w:ascii="宋体" w:hAnsi="宋体" w:eastAsia="宋体" w:cs="宋体"/>
          <w:sz w:val="24"/>
          <w:szCs w:val="24"/>
        </w:rPr>
        <w:t> </w:t>
      </w:r>
      <w:r>
        <w:rPr>
          <w:rFonts w:hint="eastAsia" w:ascii="仿宋" w:hAnsi="仿宋" w:eastAsia="仿宋"/>
          <w:sz w:val="24"/>
          <w:szCs w:val="24"/>
        </w:rPr>
        <w:t>采用高性能企业级硬盘，数据盘总容量不少于12TB。机械硬盘SAS接口，转速不低于10000RPM与固态硬盘（SSD）混合使用的方式，以兼顾存储容量与读写速度，2块系统盘（SSD）使用硬件阵列卡RAID1保护。另，高速缓存SSD容量不少于1.6TB。</w:t>
      </w:r>
    </w:p>
    <w:p w14:paraId="2E64319C">
      <w:pPr>
        <w:spacing w:line="440" w:lineRule="exact"/>
        <w:ind w:firstLine="480" w:firstLineChars="200"/>
        <w:rPr>
          <w:rFonts w:ascii="仿宋" w:hAnsi="仿宋" w:eastAsia="仿宋"/>
          <w:sz w:val="24"/>
          <w:szCs w:val="24"/>
        </w:rPr>
      </w:pPr>
      <w:r>
        <w:rPr>
          <w:rFonts w:hint="eastAsia" w:ascii="仿宋" w:hAnsi="仿宋" w:eastAsia="仿宋"/>
          <w:sz w:val="24"/>
          <w:szCs w:val="24"/>
        </w:rPr>
        <w:t>2.</w:t>
      </w:r>
      <w:r>
        <w:rPr>
          <w:rFonts w:hint="eastAsia" w:ascii="宋体" w:hAnsi="宋体" w:eastAsia="宋体" w:cs="宋体"/>
          <w:sz w:val="24"/>
          <w:szCs w:val="24"/>
        </w:rPr>
        <w:t> </w:t>
      </w:r>
      <w:r>
        <w:rPr>
          <w:rFonts w:hint="eastAsia" w:ascii="仿宋" w:hAnsi="仿宋" w:eastAsia="仿宋"/>
          <w:sz w:val="24"/>
          <w:szCs w:val="24"/>
        </w:rPr>
        <w:t>存储阵列卡采用12G SAS HBA直通阵列卡，队列深度≥7550；单卡最大支持16个驱动器；该阵列卡与系统盘使用的阵列卡独立，不混用。</w:t>
      </w:r>
    </w:p>
    <w:p w14:paraId="1AB86205">
      <w:pPr>
        <w:spacing w:line="440" w:lineRule="exact"/>
        <w:ind w:firstLine="480" w:firstLineChars="200"/>
        <w:rPr>
          <w:rFonts w:ascii="仿宋" w:hAnsi="仿宋" w:eastAsia="仿宋"/>
          <w:sz w:val="24"/>
          <w:szCs w:val="24"/>
        </w:rPr>
      </w:pPr>
      <w:r>
        <w:rPr>
          <w:rFonts w:hint="eastAsia" w:ascii="仿宋" w:hAnsi="仿宋" w:eastAsia="仿宋"/>
          <w:sz w:val="24"/>
          <w:szCs w:val="24"/>
        </w:rPr>
        <w:t>（四）网络</w:t>
      </w:r>
    </w:p>
    <w:p w14:paraId="51589F74">
      <w:pPr>
        <w:spacing w:line="440" w:lineRule="exact"/>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 xml:space="preserve">   1.</w:t>
      </w:r>
      <w:r>
        <w:rPr>
          <w:rFonts w:hint="eastAsia" w:ascii="宋体" w:hAnsi="宋体" w:eastAsia="宋体" w:cs="宋体"/>
          <w:sz w:val="24"/>
          <w:szCs w:val="24"/>
        </w:rPr>
        <w:t> </w:t>
      </w:r>
      <w:r>
        <w:rPr>
          <w:rFonts w:hint="eastAsia" w:ascii="仿宋" w:hAnsi="仿宋" w:eastAsia="仿宋"/>
          <w:sz w:val="24"/>
          <w:szCs w:val="24"/>
        </w:rPr>
        <w:t>集成至少2个双口25Gb/s高性能网络接口卡，配置至少4个原厂万兆光模块，可兼容25Gb和10Gb万兆交换机，至少配置2个1G网口端口作为管理端口使用。</w:t>
      </w:r>
    </w:p>
    <w:p w14:paraId="628ED6C6">
      <w:pPr>
        <w:spacing w:line="440" w:lineRule="exact"/>
        <w:ind w:firstLine="480" w:firstLineChars="200"/>
        <w:rPr>
          <w:rFonts w:ascii="仿宋" w:hAnsi="仿宋" w:eastAsia="仿宋"/>
          <w:sz w:val="24"/>
          <w:szCs w:val="24"/>
        </w:rPr>
      </w:pPr>
      <w:r>
        <w:rPr>
          <w:rFonts w:hint="eastAsia" w:ascii="仿宋" w:hAnsi="仿宋" w:eastAsia="仿宋"/>
          <w:sz w:val="24"/>
          <w:szCs w:val="24"/>
        </w:rPr>
        <w:t>2.</w:t>
      </w:r>
      <w:r>
        <w:rPr>
          <w:rFonts w:hint="eastAsia" w:ascii="宋体" w:hAnsi="宋体" w:eastAsia="宋体" w:cs="宋体"/>
          <w:sz w:val="24"/>
          <w:szCs w:val="24"/>
        </w:rPr>
        <w:t> </w:t>
      </w:r>
      <w:r>
        <w:rPr>
          <w:rFonts w:hint="eastAsia" w:ascii="仿宋" w:hAnsi="仿宋" w:eastAsia="仿宋"/>
          <w:sz w:val="24"/>
          <w:szCs w:val="24"/>
        </w:rPr>
        <w:t>支持网络虚拟化功能，如虚拟局域网（VLAN）划分、虚拟交换机（vSwitch）配置等，能够为不同虚拟机或虚拟机群组提供隔离且灵活的网络环境，满足复杂网络拓扑结构的搭建需求。</w:t>
      </w:r>
    </w:p>
    <w:p w14:paraId="24377837">
      <w:pPr>
        <w:spacing w:line="440" w:lineRule="exact"/>
        <w:ind w:firstLine="482" w:firstLineChars="200"/>
        <w:rPr>
          <w:rFonts w:ascii="仿宋" w:hAnsi="仿宋" w:eastAsia="仿宋"/>
          <w:b/>
          <w:sz w:val="24"/>
          <w:szCs w:val="24"/>
        </w:rPr>
      </w:pPr>
      <w:r>
        <w:rPr>
          <w:rFonts w:hint="eastAsia" w:ascii="仿宋" w:hAnsi="仿宋" w:eastAsia="仿宋"/>
          <w:b/>
          <w:sz w:val="24"/>
          <w:szCs w:val="24"/>
        </w:rPr>
        <w:t>三、可扩展性</w:t>
      </w:r>
    </w:p>
    <w:p w14:paraId="4D6AF4C9">
      <w:pPr>
        <w:spacing w:line="440" w:lineRule="exact"/>
        <w:ind w:firstLine="480" w:firstLineChars="200"/>
        <w:rPr>
          <w:rFonts w:ascii="仿宋" w:hAnsi="仿宋" w:eastAsia="仿宋"/>
          <w:sz w:val="24"/>
          <w:szCs w:val="24"/>
        </w:rPr>
      </w:pPr>
      <w:r>
        <w:rPr>
          <w:rFonts w:hint="eastAsia" w:ascii="仿宋" w:hAnsi="仿宋" w:eastAsia="仿宋"/>
          <w:sz w:val="24"/>
          <w:szCs w:val="24"/>
        </w:rPr>
        <w:t>1.</w:t>
      </w:r>
      <w:r>
        <w:rPr>
          <w:rFonts w:hint="eastAsia" w:ascii="宋体" w:hAnsi="宋体" w:eastAsia="宋体" w:cs="宋体"/>
          <w:sz w:val="24"/>
          <w:szCs w:val="24"/>
        </w:rPr>
        <w:t> </w:t>
      </w:r>
      <w:r>
        <w:rPr>
          <w:rFonts w:hint="eastAsia" w:ascii="仿宋" w:hAnsi="仿宋" w:eastAsia="仿宋"/>
          <w:sz w:val="24"/>
          <w:szCs w:val="24"/>
        </w:rPr>
        <w:t>服务器机箱内部应具备充足的扩展插槽，在满足以上配置的情况下，至少预留2个PCIE4插槽和2个PCIE5插槽，以便未来根据业务需求添加各类扩展卡，如网络加速卡、存储缓存卡、GPU卡等，支持服务器功能的灵活扩展与升级。</w:t>
      </w:r>
    </w:p>
    <w:p w14:paraId="767593F4">
      <w:pPr>
        <w:spacing w:line="440" w:lineRule="exact"/>
        <w:ind w:firstLine="480" w:firstLineChars="200"/>
        <w:rPr>
          <w:rFonts w:ascii="仿宋" w:hAnsi="仿宋" w:eastAsia="仿宋"/>
          <w:sz w:val="24"/>
          <w:szCs w:val="24"/>
        </w:rPr>
      </w:pPr>
      <w:r>
        <w:rPr>
          <w:rFonts w:hint="eastAsia" w:ascii="仿宋" w:hAnsi="仿宋" w:eastAsia="仿宋"/>
          <w:sz w:val="24"/>
          <w:szCs w:val="24"/>
        </w:rPr>
        <w:t>2.</w:t>
      </w:r>
      <w:r>
        <w:rPr>
          <w:rFonts w:hint="eastAsia" w:ascii="宋体" w:hAnsi="宋体" w:eastAsia="宋体" w:cs="宋体"/>
          <w:sz w:val="24"/>
          <w:szCs w:val="24"/>
        </w:rPr>
        <w:t> </w:t>
      </w:r>
      <w:r>
        <w:rPr>
          <w:rFonts w:hint="eastAsia" w:ascii="仿宋" w:hAnsi="仿宋" w:eastAsia="仿宋"/>
          <w:sz w:val="24"/>
          <w:szCs w:val="24"/>
        </w:rPr>
        <w:t>支持服务器节点的横向扩展，能够方便地将多台服务器组成集群，实现计算资源、存储资源和网络资源的统一管理与调配，构建大规模虚拟化数据中心基础架构。</w:t>
      </w:r>
    </w:p>
    <w:p w14:paraId="749EBFA6">
      <w:pPr>
        <w:spacing w:line="440" w:lineRule="exact"/>
        <w:ind w:firstLine="482" w:firstLineChars="200"/>
        <w:rPr>
          <w:rFonts w:ascii="仿宋" w:hAnsi="仿宋" w:eastAsia="仿宋"/>
          <w:b/>
          <w:sz w:val="24"/>
          <w:szCs w:val="24"/>
        </w:rPr>
      </w:pPr>
      <w:r>
        <w:rPr>
          <w:rFonts w:hint="eastAsia" w:ascii="仿宋" w:hAnsi="仿宋" w:eastAsia="仿宋"/>
          <w:b/>
          <w:sz w:val="24"/>
          <w:szCs w:val="24"/>
        </w:rPr>
        <w:t>四、可靠性与可用性</w:t>
      </w:r>
    </w:p>
    <w:p w14:paraId="7BA258D8">
      <w:pPr>
        <w:spacing w:line="440" w:lineRule="exact"/>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 xml:space="preserve">   1.</w:t>
      </w:r>
      <w:r>
        <w:rPr>
          <w:rFonts w:hint="eastAsia" w:ascii="宋体" w:hAnsi="宋体" w:eastAsia="宋体" w:cs="宋体"/>
          <w:sz w:val="24"/>
          <w:szCs w:val="24"/>
        </w:rPr>
        <w:t> </w:t>
      </w:r>
      <w:r>
        <w:rPr>
          <w:rFonts w:hint="eastAsia" w:ascii="仿宋" w:hAnsi="仿宋" w:eastAsia="仿宋"/>
          <w:sz w:val="24"/>
          <w:szCs w:val="24"/>
        </w:rPr>
        <w:t>服务器应具备冗余电源模块，支持热插拔功能，在单个电源故障时能够自动切换到备用电源，确保服务器持续稳定运行，单个电源功率不低于</w:t>
      </w:r>
      <w:r>
        <w:rPr>
          <w:rFonts w:ascii="仿宋" w:hAnsi="仿宋" w:eastAsia="仿宋"/>
          <w:sz w:val="24"/>
          <w:szCs w:val="24"/>
        </w:rPr>
        <w:t>2400W</w:t>
      </w:r>
      <w:r>
        <w:rPr>
          <w:rFonts w:hint="eastAsia" w:ascii="仿宋" w:hAnsi="仿宋" w:eastAsia="仿宋"/>
          <w:sz w:val="24"/>
          <w:szCs w:val="24"/>
        </w:rPr>
        <w:t>。</w:t>
      </w:r>
    </w:p>
    <w:p w14:paraId="7D261EBD">
      <w:pPr>
        <w:spacing w:line="440" w:lineRule="exact"/>
        <w:ind w:firstLine="480" w:firstLineChars="200"/>
        <w:rPr>
          <w:rFonts w:ascii="仿宋" w:hAnsi="仿宋" w:eastAsia="仿宋"/>
          <w:sz w:val="24"/>
          <w:szCs w:val="24"/>
        </w:rPr>
      </w:pPr>
      <w:r>
        <w:rPr>
          <w:rFonts w:hint="eastAsia" w:ascii="仿宋" w:hAnsi="仿宋" w:eastAsia="仿宋"/>
          <w:sz w:val="24"/>
          <w:szCs w:val="24"/>
        </w:rPr>
        <w:t>2.</w:t>
      </w:r>
      <w:r>
        <w:rPr>
          <w:rFonts w:hint="eastAsia" w:ascii="宋体" w:hAnsi="宋体" w:eastAsia="宋体" w:cs="宋体"/>
          <w:sz w:val="24"/>
          <w:szCs w:val="24"/>
        </w:rPr>
        <w:t> </w:t>
      </w:r>
      <w:r>
        <w:rPr>
          <w:rFonts w:hint="eastAsia" w:ascii="仿宋" w:hAnsi="仿宋" w:eastAsia="仿宋"/>
          <w:sz w:val="24"/>
          <w:szCs w:val="24"/>
        </w:rPr>
        <w:t>散热系统采用冗余风扇设计，可智能调节风扇转速，根据服务器内部温度实时调整散热风量，确保服务器在不同负载条件下均能保持稳定的工作温度，风扇支持热插拔更换，便于维护。</w:t>
      </w:r>
    </w:p>
    <w:p w14:paraId="0C058DA5">
      <w:pPr>
        <w:spacing w:line="440" w:lineRule="exact"/>
        <w:ind w:firstLine="480" w:firstLineChars="200"/>
        <w:rPr>
          <w:rFonts w:ascii="仿宋" w:hAnsi="仿宋" w:eastAsia="仿宋"/>
          <w:sz w:val="24"/>
          <w:szCs w:val="24"/>
        </w:rPr>
      </w:pPr>
      <w:r>
        <w:rPr>
          <w:rFonts w:hint="eastAsia" w:ascii="仿宋" w:hAnsi="仿宋" w:eastAsia="仿宋"/>
          <w:sz w:val="24"/>
          <w:szCs w:val="24"/>
        </w:rPr>
        <w:t>3.</w:t>
      </w:r>
      <w:r>
        <w:rPr>
          <w:rFonts w:hint="eastAsia" w:ascii="宋体" w:hAnsi="宋体" w:eastAsia="宋体" w:cs="宋体"/>
          <w:sz w:val="24"/>
          <w:szCs w:val="24"/>
        </w:rPr>
        <w:t> </w:t>
      </w:r>
      <w:r>
        <w:rPr>
          <w:rFonts w:hint="eastAsia" w:ascii="仿宋" w:hAnsi="仿宋" w:eastAsia="仿宋"/>
          <w:sz w:val="24"/>
          <w:szCs w:val="24"/>
        </w:rPr>
        <w:t>提供硬件监控管理功能，可实时监测服务器的处理器、内存、硬盘、网络、电源等关键部件的运行状态，当出现故障或异常情况时能够及时发出警报，并通过管理界面提供详细的故障信息，便于管理员快速定位和解决问题。</w:t>
      </w:r>
    </w:p>
    <w:p w14:paraId="7AAE90C9">
      <w:pPr>
        <w:spacing w:line="440" w:lineRule="exact"/>
        <w:ind w:firstLine="482" w:firstLineChars="200"/>
        <w:rPr>
          <w:rFonts w:ascii="仿宋" w:hAnsi="仿宋" w:eastAsia="仿宋"/>
          <w:b/>
          <w:sz w:val="24"/>
          <w:szCs w:val="24"/>
        </w:rPr>
      </w:pPr>
      <w:r>
        <w:rPr>
          <w:rFonts w:hint="eastAsia" w:ascii="仿宋" w:hAnsi="仿宋" w:eastAsia="仿宋"/>
          <w:b/>
          <w:sz w:val="24"/>
          <w:szCs w:val="24"/>
        </w:rPr>
        <w:t>五、安装部署要求</w:t>
      </w:r>
    </w:p>
    <w:p w14:paraId="7500E14D">
      <w:pPr>
        <w:spacing w:line="440" w:lineRule="exact"/>
        <w:ind w:firstLine="480" w:firstLineChars="200"/>
        <w:rPr>
          <w:rFonts w:ascii="仿宋" w:hAnsi="仿宋" w:eastAsia="仿宋"/>
          <w:sz w:val="24"/>
          <w:szCs w:val="24"/>
        </w:rPr>
      </w:pPr>
      <w:r>
        <w:rPr>
          <w:rFonts w:hint="eastAsia" w:ascii="仿宋" w:hAnsi="仿宋" w:eastAsia="仿宋"/>
          <w:sz w:val="24"/>
          <w:szCs w:val="24"/>
        </w:rPr>
        <w:t>中标单位须免费安装硬件和部署</w:t>
      </w:r>
      <w:r>
        <w:rPr>
          <w:rFonts w:ascii="仿宋" w:hAnsi="仿宋" w:eastAsia="仿宋"/>
          <w:sz w:val="24"/>
          <w:szCs w:val="24"/>
        </w:rPr>
        <w:t>VMware vSphere</w:t>
      </w:r>
      <w:r>
        <w:rPr>
          <w:rFonts w:hint="eastAsia" w:ascii="仿宋" w:hAnsi="仿宋" w:eastAsia="仿宋"/>
          <w:sz w:val="24"/>
          <w:szCs w:val="24"/>
        </w:rPr>
        <w:t>虚拟化软件，并提供合理的GPU虚拟化方案：实现多个用户共享使用单块高性能GPU进行AI人工智能计算任务，每个用户可以在客户端远程调用后端的GPU算力资源，分时复用GPU算力资源。</w:t>
      </w:r>
    </w:p>
    <w:p w14:paraId="1D0FD481">
      <w:pPr>
        <w:spacing w:line="440" w:lineRule="exact"/>
        <w:ind w:firstLine="480" w:firstLineChars="200"/>
        <w:rPr>
          <w:rFonts w:ascii="仿宋" w:hAnsi="仿宋" w:eastAsia="仿宋"/>
          <w:sz w:val="24"/>
          <w:szCs w:val="24"/>
        </w:rPr>
      </w:pPr>
      <w:r>
        <w:rPr>
          <w:rFonts w:hint="eastAsia" w:ascii="仿宋" w:hAnsi="仿宋" w:eastAsia="仿宋"/>
          <w:sz w:val="24"/>
          <w:szCs w:val="24"/>
        </w:rPr>
        <w:t>提供专业的性能分析软件，软件无代理程序，可远程运行，并收集磁盘IO，吞吐量，容量，CPU，内存使用率，IO延时，队列深度，读写比例，等指标，支持windows、Linux、Esxi系统。</w:t>
      </w:r>
    </w:p>
    <w:p w14:paraId="7FF306B6">
      <w:pPr>
        <w:spacing w:line="440" w:lineRule="exact"/>
        <w:ind w:firstLine="480" w:firstLineChars="200"/>
        <w:rPr>
          <w:rFonts w:ascii="仿宋" w:hAnsi="仿宋" w:eastAsia="仿宋"/>
          <w:sz w:val="24"/>
          <w:szCs w:val="24"/>
        </w:rPr>
      </w:pPr>
      <w:r>
        <w:rPr>
          <w:rFonts w:hint="eastAsia" w:ascii="仿宋" w:hAnsi="仿宋" w:eastAsia="仿宋"/>
          <w:sz w:val="24"/>
          <w:szCs w:val="24"/>
        </w:rPr>
        <w:t>另外，学校提供4台利旧服务器，中标单位须免费部署云桌面环境，按照使用需求持续调试和维护，满足我方教师电脑云桌面使用需求。</w:t>
      </w:r>
    </w:p>
    <w:p w14:paraId="3A8E7451">
      <w:pPr>
        <w:spacing w:line="440" w:lineRule="exact"/>
        <w:ind w:firstLine="482" w:firstLineChars="200"/>
        <w:rPr>
          <w:rFonts w:ascii="仿宋" w:hAnsi="仿宋" w:eastAsia="仿宋"/>
          <w:b/>
          <w:sz w:val="24"/>
          <w:szCs w:val="24"/>
        </w:rPr>
      </w:pPr>
      <w:r>
        <w:rPr>
          <w:rFonts w:hint="eastAsia" w:ascii="仿宋" w:hAnsi="仿宋" w:eastAsia="仿宋"/>
          <w:b/>
          <w:sz w:val="24"/>
          <w:szCs w:val="24"/>
        </w:rPr>
        <w:t>六、服务要求</w:t>
      </w:r>
    </w:p>
    <w:p w14:paraId="54355E98">
      <w:pPr>
        <w:spacing w:line="440" w:lineRule="exact"/>
        <w:rPr>
          <w:rFonts w:ascii="仿宋" w:hAnsi="仿宋" w:eastAsia="仿宋"/>
          <w:sz w:val="24"/>
          <w:szCs w:val="24"/>
        </w:rPr>
      </w:pPr>
      <w:r>
        <w:rPr>
          <w:rFonts w:hint="eastAsia" w:ascii="仿宋" w:hAnsi="仿宋" w:eastAsia="仿宋"/>
          <w:sz w:val="24"/>
          <w:szCs w:val="24"/>
        </w:rPr>
        <w:t xml:space="preserve">    本次项目实施团队的工程师须持有相关产品的官方技术认证证书，具备专业的实施部署能力；其中服务器产品必须提供原厂商针对本次项目的原厂授权及售后服务承诺函，确保项目的落地效果。</w:t>
      </w:r>
    </w:p>
    <w:p w14:paraId="28B93D07">
      <w:pPr>
        <w:rPr>
          <w:rFonts w:ascii="仿宋" w:hAnsi="仿宋" w:eastAsia="仿宋"/>
          <w:sz w:val="24"/>
          <w:szCs w:val="24"/>
        </w:rPr>
      </w:pPr>
    </w:p>
    <w:p w14:paraId="2F17B45F">
      <w:pPr>
        <w:rPr>
          <w:rFonts w:ascii="仿宋" w:hAnsi="仿宋" w:eastAsia="仿宋"/>
          <w:sz w:val="24"/>
          <w:szCs w:val="24"/>
        </w:rPr>
      </w:pPr>
    </w:p>
    <w:p w14:paraId="028221F0">
      <w:pPr>
        <w:rPr>
          <w:rFonts w:ascii="仿宋" w:hAnsi="仿宋" w:eastAsia="仿宋"/>
          <w:sz w:val="24"/>
          <w:szCs w:val="24"/>
        </w:rPr>
      </w:pPr>
    </w:p>
    <w:p w14:paraId="72FE5F6B">
      <w:pPr>
        <w:spacing w:line="440" w:lineRule="exact"/>
        <w:rPr>
          <w:rFonts w:ascii="仿宋" w:hAnsi="仿宋" w:eastAsia="仿宋"/>
          <w:b/>
          <w:sz w:val="24"/>
          <w:szCs w:val="24"/>
        </w:rPr>
      </w:pPr>
      <w:r>
        <w:rPr>
          <w:rFonts w:hint="eastAsia" w:ascii="仿宋" w:hAnsi="仿宋" w:eastAsia="仿宋"/>
          <w:b/>
          <w:sz w:val="24"/>
          <w:szCs w:val="24"/>
        </w:rPr>
        <w:t>服务器参数要求：</w:t>
      </w:r>
    </w:p>
    <w:tbl>
      <w:tblPr>
        <w:tblStyle w:val="13"/>
        <w:tblW w:w="9781" w:type="dxa"/>
        <w:tblInd w:w="-601" w:type="dxa"/>
        <w:tblLayout w:type="autofit"/>
        <w:tblCellMar>
          <w:top w:w="0" w:type="dxa"/>
          <w:left w:w="108" w:type="dxa"/>
          <w:bottom w:w="0" w:type="dxa"/>
          <w:right w:w="108" w:type="dxa"/>
        </w:tblCellMar>
      </w:tblPr>
      <w:tblGrid>
        <w:gridCol w:w="1560"/>
        <w:gridCol w:w="7371"/>
        <w:gridCol w:w="850"/>
      </w:tblGrid>
      <w:tr w14:paraId="13C34204">
        <w:tblPrEx>
          <w:tblCellMar>
            <w:top w:w="0" w:type="dxa"/>
            <w:left w:w="108" w:type="dxa"/>
            <w:bottom w:w="0" w:type="dxa"/>
            <w:right w:w="108" w:type="dxa"/>
          </w:tblCellMar>
        </w:tblPrEx>
        <w:trPr>
          <w:trHeight w:val="270"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96BAC8">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名称</w:t>
            </w:r>
          </w:p>
        </w:tc>
        <w:tc>
          <w:tcPr>
            <w:tcW w:w="7371" w:type="dxa"/>
            <w:tcBorders>
              <w:top w:val="single" w:color="auto" w:sz="4" w:space="0"/>
              <w:left w:val="nil"/>
              <w:bottom w:val="single" w:color="auto" w:sz="4" w:space="0"/>
              <w:right w:val="single" w:color="auto" w:sz="4" w:space="0"/>
            </w:tcBorders>
            <w:shd w:val="clear" w:color="auto" w:fill="auto"/>
            <w:noWrap/>
            <w:vAlign w:val="center"/>
          </w:tcPr>
          <w:p w14:paraId="0807DDFF">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参数</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53A3B148">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数量</w:t>
            </w:r>
          </w:p>
        </w:tc>
      </w:tr>
      <w:tr w14:paraId="1C81586B">
        <w:tblPrEx>
          <w:tblCellMar>
            <w:top w:w="0" w:type="dxa"/>
            <w:left w:w="108" w:type="dxa"/>
            <w:bottom w:w="0" w:type="dxa"/>
            <w:right w:w="108" w:type="dxa"/>
          </w:tblCellMar>
        </w:tblPrEx>
        <w:trPr>
          <w:trHeight w:val="5940" w:hRule="atLeast"/>
        </w:trPr>
        <w:tc>
          <w:tcPr>
            <w:tcW w:w="1560" w:type="dxa"/>
            <w:tcBorders>
              <w:top w:val="nil"/>
              <w:left w:val="single" w:color="auto" w:sz="4" w:space="0"/>
              <w:bottom w:val="single" w:color="auto" w:sz="4" w:space="0"/>
              <w:right w:val="single" w:color="auto" w:sz="4" w:space="0"/>
            </w:tcBorders>
            <w:shd w:val="clear" w:color="auto" w:fill="auto"/>
            <w:vAlign w:val="center"/>
          </w:tcPr>
          <w:p w14:paraId="030AF9EB">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Dell R760</w:t>
            </w:r>
          </w:p>
        </w:tc>
        <w:tc>
          <w:tcPr>
            <w:tcW w:w="7371" w:type="dxa"/>
            <w:tcBorders>
              <w:top w:val="nil"/>
              <w:left w:val="nil"/>
              <w:bottom w:val="single" w:color="auto" w:sz="4" w:space="0"/>
              <w:right w:val="single" w:color="auto" w:sz="4" w:space="0"/>
            </w:tcBorders>
            <w:shd w:val="clear" w:color="auto" w:fill="auto"/>
            <w:vAlign w:val="center"/>
          </w:tcPr>
          <w:p w14:paraId="6EEC0265">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2U机架式服务器，含上架滑动导轨，LED液晶面板</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CPU：2颗Intel英特尔志强扩展5代 4510  2.4GHz</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内存：256GB 5600MT/s RDIMM DDR5</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2.5寸硬盘：5块2.4T 10k SAS；</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系统盘：2块480G NVMe SSD（硬件阵列卡RAID1保护）；</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SSD盘：1块1.6TB PCIe接口企业级NVME混合使用SSD硬盘，当Caching Tier使用；</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存储阵列卡：1张12G SAS HBA直通阵列卡；队列深度≥7550；单卡最大支持16个驱动器；该阵列卡与系统盘使用的阵列卡独立，不混用；</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GPU卡：1块NVIDIA L40 48GB ；</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网络：2个1Gb端口、2块Broadcom 57414 双口25G光网卡（含原厂光模块）支持RDMA协议；</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电源：2个≥2400W热插拔电源，冗余保护；</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扩展槽：至少预留2个PCIE4插槽和2个PCIE5插槽；</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管理功能：配置独立的远程管理卡，支持虚拟光驱，本地WIFI和蓝牙方式管理技术，手持移动端管理；可配置服务器原厂APP监控软件，适用于Android或IOS系统，可远程监控和管理服务器，获取警报通知；</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服务器机型及配置的SSD盘、HDD盘、存储阵列卡、网卡等关键部件均在VMware vSAN 8.0U3官方兼容列表，服务器整机3年原厂质保。提供服务器厂商针对本项目的原厂授权及售后服务承诺函。</w:t>
            </w:r>
          </w:p>
        </w:tc>
        <w:tc>
          <w:tcPr>
            <w:tcW w:w="850" w:type="dxa"/>
            <w:tcBorders>
              <w:top w:val="nil"/>
              <w:left w:val="nil"/>
              <w:bottom w:val="single" w:color="auto" w:sz="4" w:space="0"/>
              <w:right w:val="single" w:color="auto" w:sz="4" w:space="0"/>
            </w:tcBorders>
            <w:shd w:val="clear" w:color="auto" w:fill="auto"/>
            <w:noWrap/>
            <w:vAlign w:val="center"/>
          </w:tcPr>
          <w:p w14:paraId="1454D9D6">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w:t>
            </w:r>
          </w:p>
        </w:tc>
      </w:tr>
      <w:tr w14:paraId="2A3D4BC8">
        <w:tblPrEx>
          <w:tblCellMar>
            <w:top w:w="0" w:type="dxa"/>
            <w:left w:w="108" w:type="dxa"/>
            <w:bottom w:w="0" w:type="dxa"/>
            <w:right w:w="108" w:type="dxa"/>
          </w:tblCellMar>
        </w:tblPrEx>
        <w:trPr>
          <w:trHeight w:val="1620"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1687D5E1">
            <w:pPr>
              <w:widowControl/>
              <w:jc w:val="center"/>
              <w:rPr>
                <w:rFonts w:ascii="仿宋" w:hAnsi="仿宋" w:eastAsia="仿宋" w:cs="宋体"/>
                <w:color w:val="000000"/>
                <w:kern w:val="0"/>
                <w:sz w:val="24"/>
                <w:szCs w:val="24"/>
              </w:rPr>
            </w:pPr>
          </w:p>
        </w:tc>
        <w:tc>
          <w:tcPr>
            <w:tcW w:w="7371" w:type="dxa"/>
            <w:tcBorders>
              <w:top w:val="nil"/>
              <w:left w:val="nil"/>
              <w:bottom w:val="single" w:color="auto" w:sz="4" w:space="0"/>
              <w:right w:val="single" w:color="auto" w:sz="4" w:space="0"/>
            </w:tcBorders>
            <w:shd w:val="clear" w:color="auto" w:fill="auto"/>
            <w:vAlign w:val="center"/>
          </w:tcPr>
          <w:p w14:paraId="029091CB">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提供合理的GPU虚拟化方案：实现多个用户共享使用单块高性能GPU进行AI人工智能计算任务，每个用户可以在客户端远程调用后端的GPU算力资源，分时复用GPU算力资源。</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提供性能分析软件，软件无代理程序，可远程运行，并收集磁盘IO，吞吐量，容量，CPU，内存使用率，IO延时，队列深度，读写比例，等指标，支持windows、Linux、Esxi系统</w:t>
            </w:r>
          </w:p>
        </w:tc>
        <w:tc>
          <w:tcPr>
            <w:tcW w:w="850" w:type="dxa"/>
            <w:tcBorders>
              <w:top w:val="nil"/>
              <w:left w:val="nil"/>
              <w:bottom w:val="single" w:color="auto" w:sz="4" w:space="0"/>
              <w:right w:val="single" w:color="auto" w:sz="4" w:space="0"/>
            </w:tcBorders>
            <w:shd w:val="clear" w:color="auto" w:fill="auto"/>
            <w:noWrap/>
            <w:vAlign w:val="center"/>
          </w:tcPr>
          <w:p w14:paraId="698BBD4A">
            <w:pPr>
              <w:widowControl/>
              <w:jc w:val="center"/>
              <w:rPr>
                <w:rFonts w:ascii="仿宋" w:hAnsi="仿宋" w:eastAsia="仿宋" w:cs="宋体"/>
                <w:color w:val="000000"/>
                <w:kern w:val="0"/>
                <w:sz w:val="24"/>
                <w:szCs w:val="24"/>
              </w:rPr>
            </w:pPr>
          </w:p>
        </w:tc>
      </w:tr>
      <w:tr w14:paraId="0B8A1180">
        <w:tblPrEx>
          <w:tblCellMar>
            <w:top w:w="0" w:type="dxa"/>
            <w:left w:w="108" w:type="dxa"/>
            <w:bottom w:w="0" w:type="dxa"/>
            <w:right w:w="108" w:type="dxa"/>
          </w:tblCellMar>
        </w:tblPrEx>
        <w:trPr>
          <w:trHeight w:val="810" w:hRule="atLeast"/>
        </w:trPr>
        <w:tc>
          <w:tcPr>
            <w:tcW w:w="1560" w:type="dxa"/>
            <w:tcBorders>
              <w:top w:val="nil"/>
              <w:left w:val="single" w:color="auto" w:sz="4" w:space="0"/>
              <w:bottom w:val="single" w:color="auto" w:sz="4" w:space="0"/>
              <w:right w:val="nil"/>
            </w:tcBorders>
            <w:shd w:val="clear" w:color="auto" w:fill="auto"/>
            <w:vAlign w:val="center"/>
          </w:tcPr>
          <w:p w14:paraId="2FE8E1EA">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存储网络交换机</w:t>
            </w:r>
          </w:p>
          <w:p w14:paraId="3F74A8A1">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华为S6730S</w:t>
            </w:r>
          </w:p>
        </w:tc>
        <w:tc>
          <w:tcPr>
            <w:tcW w:w="7371" w:type="dxa"/>
            <w:tcBorders>
              <w:top w:val="nil"/>
              <w:left w:val="single" w:color="auto" w:sz="4" w:space="0"/>
              <w:bottom w:val="single" w:color="auto" w:sz="4" w:space="0"/>
              <w:right w:val="single" w:color="auto" w:sz="4" w:space="0"/>
            </w:tcBorders>
            <w:shd w:val="clear" w:color="auto" w:fill="auto"/>
            <w:vAlign w:val="center"/>
          </w:tcPr>
          <w:p w14:paraId="395B35E3">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配置(24个万兆SFP+,6个40GE QSFP,含1个600W交流电源)</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交换容量2.4Tbps/24Tbps，包转发率720M/792Mpps，原厂三年质保。配置16个10Gb万兆光模块</w:t>
            </w:r>
          </w:p>
        </w:tc>
        <w:tc>
          <w:tcPr>
            <w:tcW w:w="850" w:type="dxa"/>
            <w:tcBorders>
              <w:top w:val="nil"/>
              <w:left w:val="nil"/>
              <w:bottom w:val="single" w:color="auto" w:sz="4" w:space="0"/>
              <w:right w:val="single" w:color="auto" w:sz="4" w:space="0"/>
            </w:tcBorders>
            <w:shd w:val="clear" w:color="auto" w:fill="auto"/>
            <w:noWrap/>
            <w:vAlign w:val="center"/>
          </w:tcPr>
          <w:p w14:paraId="1AC19667">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r>
    </w:tbl>
    <w:p w14:paraId="3A6D1545">
      <w:pPr>
        <w:spacing w:before="156" w:beforeLines="50" w:after="156" w:afterLines="50"/>
        <w:rPr>
          <w:rFonts w:ascii="宋体" w:hAnsi="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Noto Sans S Chinese Regular">
    <w:altName w:val="宋体"/>
    <w:panose1 w:val="00000000000000000000"/>
    <w:charset w:val="86"/>
    <w:family w:val="swiss"/>
    <w:pitch w:val="default"/>
    <w:sig w:usb0="00000000" w:usb1="00000000" w:usb2="00000016" w:usb3="00000000" w:csb0="00060107"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kOTlmNGVmZjM4NWM4NDFiOWE0NWUxOWE2M2JhZmIifQ=="/>
  </w:docVars>
  <w:rsids>
    <w:rsidRoot w:val="00DD77DF"/>
    <w:rsid w:val="00003E06"/>
    <w:rsid w:val="00057A12"/>
    <w:rsid w:val="00070040"/>
    <w:rsid w:val="000702B9"/>
    <w:rsid w:val="00091795"/>
    <w:rsid w:val="000B1D4A"/>
    <w:rsid w:val="000C0B4B"/>
    <w:rsid w:val="000D1B1B"/>
    <w:rsid w:val="00111EFC"/>
    <w:rsid w:val="00114AA3"/>
    <w:rsid w:val="0012342B"/>
    <w:rsid w:val="001263CF"/>
    <w:rsid w:val="00127F7C"/>
    <w:rsid w:val="001401EA"/>
    <w:rsid w:val="00172759"/>
    <w:rsid w:val="00173D7F"/>
    <w:rsid w:val="00184EFF"/>
    <w:rsid w:val="00185CB0"/>
    <w:rsid w:val="001B3F77"/>
    <w:rsid w:val="001C100B"/>
    <w:rsid w:val="001D35A9"/>
    <w:rsid w:val="001F4662"/>
    <w:rsid w:val="00270F03"/>
    <w:rsid w:val="002D37DC"/>
    <w:rsid w:val="002E3506"/>
    <w:rsid w:val="002E7EFD"/>
    <w:rsid w:val="002F30E8"/>
    <w:rsid w:val="00326E8F"/>
    <w:rsid w:val="0035405B"/>
    <w:rsid w:val="00354AF6"/>
    <w:rsid w:val="003678EC"/>
    <w:rsid w:val="00384CD8"/>
    <w:rsid w:val="003A242A"/>
    <w:rsid w:val="003D67EF"/>
    <w:rsid w:val="003F5670"/>
    <w:rsid w:val="004138C0"/>
    <w:rsid w:val="00421101"/>
    <w:rsid w:val="004379CF"/>
    <w:rsid w:val="00457B04"/>
    <w:rsid w:val="004718C5"/>
    <w:rsid w:val="00487B01"/>
    <w:rsid w:val="00495935"/>
    <w:rsid w:val="004A3173"/>
    <w:rsid w:val="004B46F9"/>
    <w:rsid w:val="004D7243"/>
    <w:rsid w:val="004E4388"/>
    <w:rsid w:val="004F2119"/>
    <w:rsid w:val="005000CD"/>
    <w:rsid w:val="00512D54"/>
    <w:rsid w:val="00515C49"/>
    <w:rsid w:val="00532DD8"/>
    <w:rsid w:val="00533D14"/>
    <w:rsid w:val="00537B3B"/>
    <w:rsid w:val="0055090A"/>
    <w:rsid w:val="00552E20"/>
    <w:rsid w:val="00571CCA"/>
    <w:rsid w:val="005748E6"/>
    <w:rsid w:val="005875A6"/>
    <w:rsid w:val="00597D68"/>
    <w:rsid w:val="005A136B"/>
    <w:rsid w:val="005C1E36"/>
    <w:rsid w:val="005C5E7E"/>
    <w:rsid w:val="005C6A46"/>
    <w:rsid w:val="005F4292"/>
    <w:rsid w:val="0060268D"/>
    <w:rsid w:val="00607678"/>
    <w:rsid w:val="00625633"/>
    <w:rsid w:val="006A58B4"/>
    <w:rsid w:val="006B04E2"/>
    <w:rsid w:val="006B50F9"/>
    <w:rsid w:val="006C06A4"/>
    <w:rsid w:val="006C784E"/>
    <w:rsid w:val="006D067E"/>
    <w:rsid w:val="006E0E9D"/>
    <w:rsid w:val="006E5DEF"/>
    <w:rsid w:val="007115C1"/>
    <w:rsid w:val="00726D9D"/>
    <w:rsid w:val="00742ADD"/>
    <w:rsid w:val="00746C19"/>
    <w:rsid w:val="00752C24"/>
    <w:rsid w:val="00752FA5"/>
    <w:rsid w:val="00765E9E"/>
    <w:rsid w:val="00776BB9"/>
    <w:rsid w:val="00783832"/>
    <w:rsid w:val="00793C17"/>
    <w:rsid w:val="007A101C"/>
    <w:rsid w:val="00805155"/>
    <w:rsid w:val="00805A89"/>
    <w:rsid w:val="00806320"/>
    <w:rsid w:val="00807F88"/>
    <w:rsid w:val="00830FBA"/>
    <w:rsid w:val="00835AE4"/>
    <w:rsid w:val="008500D5"/>
    <w:rsid w:val="008910C2"/>
    <w:rsid w:val="0089492E"/>
    <w:rsid w:val="00897B30"/>
    <w:rsid w:val="008A2A1D"/>
    <w:rsid w:val="008D2B61"/>
    <w:rsid w:val="008E6AD1"/>
    <w:rsid w:val="008F0AA1"/>
    <w:rsid w:val="008F1FB7"/>
    <w:rsid w:val="00900839"/>
    <w:rsid w:val="00953A0B"/>
    <w:rsid w:val="009574DB"/>
    <w:rsid w:val="009654F5"/>
    <w:rsid w:val="00996666"/>
    <w:rsid w:val="009A685E"/>
    <w:rsid w:val="009D0887"/>
    <w:rsid w:val="009D4C11"/>
    <w:rsid w:val="00A0024C"/>
    <w:rsid w:val="00A05661"/>
    <w:rsid w:val="00A2469D"/>
    <w:rsid w:val="00A26960"/>
    <w:rsid w:val="00A30FCC"/>
    <w:rsid w:val="00A35CEB"/>
    <w:rsid w:val="00A45071"/>
    <w:rsid w:val="00A76D06"/>
    <w:rsid w:val="00A836D9"/>
    <w:rsid w:val="00AC2940"/>
    <w:rsid w:val="00AC37F3"/>
    <w:rsid w:val="00AF7E1A"/>
    <w:rsid w:val="00B1092F"/>
    <w:rsid w:val="00B237DB"/>
    <w:rsid w:val="00B378D9"/>
    <w:rsid w:val="00B44715"/>
    <w:rsid w:val="00B524B5"/>
    <w:rsid w:val="00B54887"/>
    <w:rsid w:val="00B6379E"/>
    <w:rsid w:val="00B80CFA"/>
    <w:rsid w:val="00B90393"/>
    <w:rsid w:val="00BA42AD"/>
    <w:rsid w:val="00BB651C"/>
    <w:rsid w:val="00BB7F5D"/>
    <w:rsid w:val="00BF3F93"/>
    <w:rsid w:val="00BF70A6"/>
    <w:rsid w:val="00BF7405"/>
    <w:rsid w:val="00C20864"/>
    <w:rsid w:val="00C455CD"/>
    <w:rsid w:val="00C56C0E"/>
    <w:rsid w:val="00CC73C8"/>
    <w:rsid w:val="00CE645F"/>
    <w:rsid w:val="00D152C1"/>
    <w:rsid w:val="00D263FE"/>
    <w:rsid w:val="00D27301"/>
    <w:rsid w:val="00D46BF3"/>
    <w:rsid w:val="00D81024"/>
    <w:rsid w:val="00DA126F"/>
    <w:rsid w:val="00DB48B5"/>
    <w:rsid w:val="00DC0E5E"/>
    <w:rsid w:val="00DC2ABD"/>
    <w:rsid w:val="00DC323F"/>
    <w:rsid w:val="00DD77DF"/>
    <w:rsid w:val="00DE0172"/>
    <w:rsid w:val="00E01BA6"/>
    <w:rsid w:val="00E43FF3"/>
    <w:rsid w:val="00E523B4"/>
    <w:rsid w:val="00E74E35"/>
    <w:rsid w:val="00E80B84"/>
    <w:rsid w:val="00E95602"/>
    <w:rsid w:val="00EC7811"/>
    <w:rsid w:val="00EF763D"/>
    <w:rsid w:val="00F324E7"/>
    <w:rsid w:val="00F424CE"/>
    <w:rsid w:val="00F77E5F"/>
    <w:rsid w:val="00F855E6"/>
    <w:rsid w:val="00F90573"/>
    <w:rsid w:val="00FD0BCB"/>
    <w:rsid w:val="0F7B58C1"/>
    <w:rsid w:val="11A21718"/>
    <w:rsid w:val="129220B4"/>
    <w:rsid w:val="3B623012"/>
    <w:rsid w:val="40E6595D"/>
    <w:rsid w:val="67FB7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Arial" w:hAnsi="Arial" w:eastAsia="黑体"/>
      <w:b/>
      <w:bCs/>
      <w:kern w:val="0"/>
      <w:sz w:val="32"/>
      <w:szCs w:val="32"/>
    </w:rPr>
  </w:style>
  <w:style w:type="paragraph" w:styleId="3">
    <w:name w:val="heading 4"/>
    <w:basedOn w:val="1"/>
    <w:next w:val="1"/>
    <w:link w:val="24"/>
    <w:autoRedefine/>
    <w:qFormat/>
    <w:uiPriority w:val="99"/>
    <w:pPr>
      <w:tabs>
        <w:tab w:val="left" w:pos="0"/>
      </w:tabs>
      <w:autoSpaceDE w:val="0"/>
      <w:autoSpaceDN w:val="0"/>
      <w:outlineLvl w:val="3"/>
    </w:pPr>
    <w:rPr>
      <w:rFonts w:ascii="Calibri" w:hAnsi="Calibri" w:eastAsia="宋体" w:cs="Times New Roman"/>
      <w:szCs w:val="24"/>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4">
    <w:name w:val="Body Text"/>
    <w:basedOn w:val="1"/>
    <w:next w:val="1"/>
    <w:link w:val="19"/>
    <w:autoRedefine/>
    <w:qFormat/>
    <w:uiPriority w:val="1"/>
    <w:pPr>
      <w:ind w:left="142"/>
    </w:pPr>
    <w:rPr>
      <w:kern w:val="0"/>
      <w:sz w:val="20"/>
      <w:szCs w:val="21"/>
    </w:rPr>
  </w:style>
  <w:style w:type="paragraph" w:styleId="5">
    <w:name w:val="Body Text Indent"/>
    <w:basedOn w:val="1"/>
    <w:qFormat/>
    <w:uiPriority w:val="0"/>
    <w:pPr>
      <w:ind w:firstLine="501" w:firstLineChars="179"/>
    </w:pPr>
    <w:rPr>
      <w:sz w:val="28"/>
    </w:rPr>
  </w:style>
  <w:style w:type="paragraph" w:styleId="6">
    <w:name w:val="Plain Text"/>
    <w:basedOn w:val="1"/>
    <w:link w:val="26"/>
    <w:qFormat/>
    <w:uiPriority w:val="0"/>
    <w:rPr>
      <w:rFonts w:hint="eastAsia" w:ascii="宋体" w:hAnsi="Courier New" w:eastAsia="宋体" w:cs="Times New Roman"/>
    </w:rPr>
  </w:style>
  <w:style w:type="paragraph" w:styleId="7">
    <w:name w:val="Balloon Text"/>
    <w:basedOn w:val="1"/>
    <w:link w:val="20"/>
    <w:semiHidden/>
    <w:unhideWhenUsed/>
    <w:uiPriority w:val="99"/>
    <w:rPr>
      <w:sz w:val="18"/>
      <w:szCs w:val="18"/>
    </w:rPr>
  </w:style>
  <w:style w:type="paragraph" w:styleId="8">
    <w:name w:val="footer"/>
    <w:basedOn w:val="1"/>
    <w:link w:val="18"/>
    <w:unhideWhenUsed/>
    <w:uiPriority w:val="99"/>
    <w:pPr>
      <w:tabs>
        <w:tab w:val="center" w:pos="4153"/>
        <w:tab w:val="right" w:pos="8306"/>
      </w:tabs>
      <w:snapToGrid w:val="0"/>
      <w:jc w:val="left"/>
    </w:pPr>
    <w:rPr>
      <w:sz w:val="18"/>
      <w:szCs w:val="18"/>
    </w:rPr>
  </w:style>
  <w:style w:type="paragraph" w:styleId="9">
    <w:name w:val="header"/>
    <w:basedOn w:val="1"/>
    <w:link w:val="17"/>
    <w:unhideWhenUsed/>
    <w:uiPriority w:val="99"/>
    <w:pPr>
      <w:tabs>
        <w:tab w:val="center" w:pos="4153"/>
        <w:tab w:val="right" w:pos="8306"/>
      </w:tabs>
      <w:snapToGrid w:val="0"/>
      <w:jc w:val="center"/>
    </w:pPr>
    <w:rPr>
      <w:sz w:val="18"/>
      <w:szCs w:val="18"/>
    </w:rPr>
  </w:style>
  <w:style w:type="paragraph" w:styleId="10">
    <w:name w:val="Subtitle"/>
    <w:basedOn w:val="1"/>
    <w:next w:val="1"/>
    <w:link w:val="27"/>
    <w:qFormat/>
    <w:uiPriority w:val="0"/>
    <w:pPr>
      <w:spacing w:before="240" w:after="60" w:line="312" w:lineRule="auto"/>
      <w:jc w:val="left"/>
      <w:outlineLvl w:val="1"/>
    </w:pPr>
    <w:rPr>
      <w:rFonts w:ascii="Calibri Light" w:hAnsi="Calibri Light" w:eastAsia="宋体" w:cs="Times New Roman"/>
      <w:b/>
      <w:bCs/>
      <w:kern w:val="28"/>
      <w:sz w:val="28"/>
      <w:szCs w:val="32"/>
    </w:rPr>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5"/>
    <w:next w:val="1"/>
    <w:qFormat/>
    <w:uiPriority w:val="0"/>
    <w:pPr>
      <w:spacing w:line="400" w:lineRule="exact"/>
      <w:ind w:firstLine="480" w:firstLineChars="200"/>
    </w:pPr>
  </w:style>
  <w:style w:type="table" w:styleId="14">
    <w:name w:val="Table Grid"/>
    <w:basedOn w:val="13"/>
    <w:autoRedefine/>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qFormat/>
    <w:uiPriority w:val="22"/>
    <w:rPr>
      <w:b/>
    </w:rPr>
  </w:style>
  <w:style w:type="character" w:customStyle="1" w:styleId="17">
    <w:name w:val="页眉 Char"/>
    <w:basedOn w:val="15"/>
    <w:link w:val="9"/>
    <w:qFormat/>
    <w:uiPriority w:val="99"/>
    <w:rPr>
      <w:sz w:val="18"/>
      <w:szCs w:val="18"/>
    </w:rPr>
  </w:style>
  <w:style w:type="character" w:customStyle="1" w:styleId="18">
    <w:name w:val="页脚 Char"/>
    <w:basedOn w:val="15"/>
    <w:link w:val="8"/>
    <w:uiPriority w:val="99"/>
    <w:rPr>
      <w:sz w:val="18"/>
      <w:szCs w:val="18"/>
    </w:rPr>
  </w:style>
  <w:style w:type="character" w:customStyle="1" w:styleId="19">
    <w:name w:val="正文文本 Char"/>
    <w:basedOn w:val="15"/>
    <w:link w:val="4"/>
    <w:uiPriority w:val="1"/>
    <w:rPr>
      <w:kern w:val="0"/>
      <w:sz w:val="20"/>
      <w:szCs w:val="21"/>
    </w:rPr>
  </w:style>
  <w:style w:type="character" w:customStyle="1" w:styleId="20">
    <w:name w:val="批注框文本 Char"/>
    <w:basedOn w:val="15"/>
    <w:link w:val="7"/>
    <w:semiHidden/>
    <w:qFormat/>
    <w:uiPriority w:val="99"/>
    <w:rPr>
      <w:sz w:val="18"/>
      <w:szCs w:val="18"/>
    </w:rPr>
  </w:style>
  <w:style w:type="paragraph" w:customStyle="1" w:styleId="21">
    <w:name w:val="列出段落1"/>
    <w:basedOn w:val="1"/>
    <w:autoRedefine/>
    <w:qFormat/>
    <w:uiPriority w:val="99"/>
    <w:pPr>
      <w:ind w:firstLine="420" w:firstLineChars="200"/>
    </w:pPr>
    <w:rPr>
      <w:rFonts w:ascii="Calibri" w:hAnsi="Calibri" w:eastAsia="宋体" w:cs="Times New Roman"/>
    </w:rPr>
  </w:style>
  <w:style w:type="character" w:customStyle="1" w:styleId="22">
    <w:name w:val="font51"/>
    <w:basedOn w:val="15"/>
    <w:autoRedefine/>
    <w:qFormat/>
    <w:uiPriority w:val="0"/>
    <w:rPr>
      <w:rFonts w:hint="eastAsia" w:ascii="微软雅黑" w:hAnsi="微软雅黑" w:eastAsia="微软雅黑" w:cs="微软雅黑"/>
      <w:color w:val="000000"/>
      <w:sz w:val="20"/>
      <w:szCs w:val="20"/>
      <w:u w:val="none"/>
    </w:rPr>
  </w:style>
  <w:style w:type="paragraph" w:styleId="23">
    <w:name w:val="List Paragraph"/>
    <w:basedOn w:val="1"/>
    <w:link w:val="25"/>
    <w:qFormat/>
    <w:uiPriority w:val="0"/>
    <w:pPr>
      <w:ind w:firstLine="420" w:firstLineChars="200"/>
    </w:pPr>
  </w:style>
  <w:style w:type="character" w:customStyle="1" w:styleId="24">
    <w:name w:val="标题 4 Char"/>
    <w:basedOn w:val="15"/>
    <w:link w:val="3"/>
    <w:qFormat/>
    <w:uiPriority w:val="99"/>
    <w:rPr>
      <w:rFonts w:ascii="Calibri" w:hAnsi="Calibri" w:eastAsia="宋体" w:cs="Times New Roman"/>
      <w:szCs w:val="24"/>
    </w:rPr>
  </w:style>
  <w:style w:type="character" w:customStyle="1" w:styleId="25">
    <w:name w:val="列出段落 Char"/>
    <w:link w:val="23"/>
    <w:qFormat/>
    <w:uiPriority w:val="0"/>
    <w:rPr>
      <w:kern w:val="2"/>
      <w:sz w:val="21"/>
      <w:szCs w:val="22"/>
    </w:rPr>
  </w:style>
  <w:style w:type="character" w:customStyle="1" w:styleId="26">
    <w:name w:val="纯文本 Char"/>
    <w:basedOn w:val="15"/>
    <w:link w:val="6"/>
    <w:uiPriority w:val="0"/>
    <w:rPr>
      <w:rFonts w:ascii="宋体" w:hAnsi="Courier New" w:eastAsia="宋体" w:cs="Times New Roman"/>
      <w:kern w:val="2"/>
      <w:sz w:val="21"/>
      <w:szCs w:val="22"/>
    </w:rPr>
  </w:style>
  <w:style w:type="character" w:customStyle="1" w:styleId="27">
    <w:name w:val="副标题 Char"/>
    <w:basedOn w:val="15"/>
    <w:link w:val="10"/>
    <w:uiPriority w:val="0"/>
    <w:rPr>
      <w:rFonts w:ascii="Calibri Light" w:hAnsi="Calibri Light" w:eastAsia="宋体" w:cs="Times New Roman"/>
      <w:b/>
      <w:bCs/>
      <w:kern w:val="28"/>
      <w:sz w:val="28"/>
      <w:szCs w:val="32"/>
    </w:rPr>
  </w:style>
  <w:style w:type="character" w:customStyle="1" w:styleId="28">
    <w:name w:val="font31"/>
    <w:basedOn w:val="15"/>
    <w:qFormat/>
    <w:uiPriority w:val="0"/>
    <w:rPr>
      <w:rFonts w:hint="eastAsia" w:ascii="宋体" w:hAnsi="宋体" w:eastAsia="宋体" w:cs="宋体"/>
      <w:color w:val="000000"/>
      <w:sz w:val="24"/>
      <w:szCs w:val="24"/>
      <w:u w:val="none"/>
    </w:rPr>
  </w:style>
  <w:style w:type="paragraph" w:customStyle="1" w:styleId="29">
    <w:name w:val="内容正文"/>
    <w:basedOn w:val="1"/>
    <w:qFormat/>
    <w:uiPriority w:val="0"/>
    <w:pPr>
      <w:spacing w:after="50" w:afterLines="50" w:line="300" w:lineRule="exact"/>
      <w:ind w:left="850" w:leftChars="850"/>
    </w:pPr>
    <w:rPr>
      <w:rFonts w:ascii="Noto Sans S Chinese Regular" w:hAnsi="Noto Sans S Chinese Regular" w:eastAsia="Noto Sans S Chinese Regular" w:cs="Times New Roman"/>
      <w:szCs w:val="21"/>
    </w:rPr>
  </w:style>
  <w:style w:type="paragraph" w:customStyle="1" w:styleId="30">
    <w:name w:val="样式 首行缩进:  0 字符"/>
    <w:basedOn w:val="1"/>
    <w:autoRedefine/>
    <w:qFormat/>
    <w:uiPriority w:val="0"/>
    <w:pPr>
      <w:spacing w:line="360" w:lineRule="auto"/>
      <w:ind w:firstLine="200" w:firstLineChars="200"/>
    </w:pPr>
    <w:rPr>
      <w:rFonts w:ascii="Arial" w:hAnsi="Arial" w:eastAsia="宋体" w:cs="宋体"/>
      <w:sz w:val="24"/>
      <w:szCs w:val="20"/>
    </w:rPr>
  </w:style>
  <w:style w:type="character" w:customStyle="1" w:styleId="31">
    <w:name w:val="font11"/>
    <w:basedOn w:val="15"/>
    <w:autoRedefine/>
    <w:qFormat/>
    <w:uiPriority w:val="0"/>
    <w:rPr>
      <w:rFonts w:hint="eastAsia" w:ascii="宋体" w:hAnsi="宋体" w:eastAsia="宋体" w:cs="宋体"/>
      <w:color w:val="000000"/>
      <w:sz w:val="21"/>
      <w:szCs w:val="21"/>
      <w:u w:val="none"/>
    </w:rPr>
  </w:style>
  <w:style w:type="paragraph" w:customStyle="1" w:styleId="32">
    <w:name w:val="Default"/>
    <w:basedOn w:val="1"/>
    <w:uiPriority w:val="0"/>
    <w:pPr>
      <w:widowControl/>
      <w:autoSpaceDE w:val="0"/>
      <w:autoSpaceDN w:val="0"/>
      <w:jc w:val="left"/>
    </w:pPr>
    <w:rPr>
      <w:rFonts w:ascii="微软雅黑" w:hAnsi="微软雅黑" w:eastAsia="微软雅黑" w:cs="宋体"/>
      <w:color w:val="000000"/>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D6A7881-EDD6-488D-A92F-31D88BD95274}">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3620</Words>
  <Characters>4127</Characters>
  <Lines>31</Lines>
  <Paragraphs>8</Paragraphs>
  <TotalTime>60</TotalTime>
  <ScaleCrop>false</ScaleCrop>
  <LinksUpToDate>false</LinksUpToDate>
  <CharactersWithSpaces>4266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2024-04-09T12:19:00Z</dcterms:created>
  <dc:creator>资产部</dc:creator>
  <cp:lastModifiedBy>珊珊妮</cp:lastModifiedBy>
  <dcterms:modified xsi:type="dcterms:W3CDTF">2024-12-17T02:49:06Z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DCCFDA14910D4B55AAC435F4F157EB20_13</vt:lpwstr>
  </property>
</Properties>
</file>